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909" w:rsidRPr="00511909" w:rsidRDefault="00511909" w:rsidP="00511909">
      <w:pPr>
        <w:pStyle w:val="Piedepgina"/>
        <w:ind w:left="2127"/>
        <w:rPr>
          <w:rFonts w:asciiTheme="minorHAnsi" w:hAnsiTheme="minorHAnsi"/>
          <w:noProof/>
          <w:sz w:val="2"/>
          <w:szCs w:val="2"/>
          <w:u w:val="single"/>
          <w:lang w:val="es-ES"/>
        </w:rPr>
      </w:pPr>
      <w:r w:rsidRPr="00511909">
        <w:rPr>
          <w:rFonts w:asciiTheme="minorHAnsi" w:hAnsiTheme="minorHAnsi"/>
          <w:noProof/>
          <w:sz w:val="28"/>
          <w:szCs w:val="28"/>
          <w:u w:val="single"/>
          <w:lang w:val="es-ES"/>
        </w:rPr>
        <w:t xml:space="preserve">                         </w:t>
      </w:r>
    </w:p>
    <w:p w:rsidR="00511909" w:rsidRPr="00511909" w:rsidRDefault="00511909" w:rsidP="00511909">
      <w:pPr>
        <w:pStyle w:val="Piedepgina"/>
        <w:ind w:left="2127"/>
        <w:rPr>
          <w:rFonts w:asciiTheme="minorHAnsi" w:hAnsiTheme="minorHAnsi"/>
          <w:noProof/>
          <w:sz w:val="2"/>
          <w:szCs w:val="2"/>
          <w:u w:val="single"/>
          <w:lang w:val="es-ES"/>
        </w:rPr>
      </w:pPr>
    </w:p>
    <w:p w:rsidR="00511909" w:rsidRPr="00511909" w:rsidRDefault="00511909" w:rsidP="00511909">
      <w:pPr>
        <w:pStyle w:val="Piedepgina"/>
        <w:ind w:left="2127"/>
        <w:rPr>
          <w:rFonts w:asciiTheme="minorHAnsi" w:hAnsiTheme="minorHAnsi"/>
          <w:noProof/>
          <w:sz w:val="24"/>
          <w:szCs w:val="24"/>
          <w:u w:val="single"/>
          <w:lang w:val="es-ES"/>
        </w:rPr>
      </w:pPr>
    </w:p>
    <w:p w:rsidR="00511909" w:rsidRPr="00511909" w:rsidRDefault="00511909" w:rsidP="00511909">
      <w:pPr>
        <w:pStyle w:val="Piedepgina"/>
        <w:ind w:left="2127"/>
        <w:rPr>
          <w:rFonts w:asciiTheme="minorHAnsi" w:hAnsiTheme="minorHAnsi"/>
          <w:noProof/>
          <w:sz w:val="2"/>
          <w:szCs w:val="2"/>
          <w:u w:val="single"/>
          <w:lang w:val="es-ES"/>
        </w:rPr>
      </w:pPr>
    </w:p>
    <w:p w:rsidR="00511909" w:rsidRPr="00511909" w:rsidRDefault="00511909" w:rsidP="00511909">
      <w:pPr>
        <w:pStyle w:val="Piedepgina"/>
        <w:ind w:left="2127"/>
        <w:rPr>
          <w:rFonts w:asciiTheme="minorHAnsi" w:hAnsiTheme="minorHAnsi"/>
          <w:noProof/>
          <w:sz w:val="2"/>
          <w:szCs w:val="2"/>
          <w:u w:val="single"/>
          <w:lang w:val="es-ES"/>
        </w:rPr>
      </w:pPr>
    </w:p>
    <w:p w:rsidR="00511909" w:rsidRPr="00511909" w:rsidRDefault="00511909" w:rsidP="00511909">
      <w:pPr>
        <w:pStyle w:val="Piedepgina"/>
        <w:ind w:left="2127"/>
        <w:rPr>
          <w:rFonts w:asciiTheme="minorHAnsi" w:hAnsiTheme="minorHAnsi"/>
          <w:noProof/>
          <w:sz w:val="2"/>
          <w:szCs w:val="2"/>
          <w:u w:val="single"/>
          <w:lang w:val="es-ES"/>
        </w:rPr>
      </w:pPr>
    </w:p>
    <w:p w:rsidR="00511909" w:rsidRPr="00511909" w:rsidRDefault="00511909" w:rsidP="00511909">
      <w:pPr>
        <w:pStyle w:val="Piedepgina"/>
        <w:ind w:left="2127"/>
        <w:rPr>
          <w:rFonts w:asciiTheme="minorHAnsi" w:hAnsiTheme="minorHAnsi"/>
          <w:noProof/>
          <w:sz w:val="2"/>
          <w:szCs w:val="2"/>
          <w:u w:val="single"/>
          <w:lang w:val="es-ES"/>
        </w:rPr>
      </w:pPr>
    </w:p>
    <w:p w:rsidR="00511909" w:rsidRPr="00511909" w:rsidRDefault="00511909" w:rsidP="00511909">
      <w:pPr>
        <w:pStyle w:val="Piedepgina"/>
        <w:ind w:left="2127"/>
        <w:rPr>
          <w:rFonts w:asciiTheme="minorHAnsi" w:hAnsiTheme="minorHAnsi"/>
          <w:b/>
          <w:noProof/>
          <w:sz w:val="50"/>
          <w:szCs w:val="50"/>
          <w:lang w:val="es-ES"/>
        </w:rPr>
      </w:pPr>
      <w:r w:rsidRPr="00511909">
        <w:rPr>
          <w:rFonts w:asciiTheme="minorHAnsi" w:hAnsiTheme="minorHAnsi"/>
          <w:b/>
          <w:noProof/>
          <w:sz w:val="50"/>
          <w:szCs w:val="50"/>
          <w:lang w:val="es-ES"/>
        </w:rPr>
        <w:t>Directrices g</w:t>
      </w:r>
      <w:r w:rsidRPr="00511909">
        <w:rPr>
          <w:rFonts w:asciiTheme="minorHAnsi" w:hAnsiTheme="minorHAnsi"/>
          <w:b/>
          <w:noProof/>
          <w:color w:val="000000" w:themeColor="text1"/>
          <w:sz w:val="50"/>
          <w:szCs w:val="50"/>
          <w:lang w:val="es-ES"/>
        </w:rPr>
        <w:t>enerales</w:t>
      </w:r>
      <w:r w:rsidRPr="00511909">
        <w:rPr>
          <w:rFonts w:asciiTheme="minorHAnsi" w:hAnsiTheme="minorHAnsi"/>
          <w:b/>
          <w:noProof/>
          <w:color w:val="FF0000"/>
          <w:sz w:val="50"/>
          <w:szCs w:val="50"/>
          <w:lang w:val="es-ES"/>
        </w:rPr>
        <w:t xml:space="preserve"> </w:t>
      </w:r>
      <w:r w:rsidRPr="00511909">
        <w:rPr>
          <w:rFonts w:asciiTheme="minorHAnsi" w:hAnsiTheme="minorHAnsi"/>
          <w:b/>
          <w:noProof/>
          <w:sz w:val="50"/>
          <w:szCs w:val="50"/>
          <w:lang w:val="es-ES"/>
        </w:rPr>
        <w:t>de la Estrategia Nacional frente al Reto Demográfico</w:t>
      </w:r>
    </w:p>
    <w:p w:rsidR="00511909" w:rsidRPr="00511909" w:rsidRDefault="00511909" w:rsidP="00511909">
      <w:pPr>
        <w:pStyle w:val="Piedepgina"/>
        <w:ind w:left="2127"/>
        <w:rPr>
          <w:rFonts w:asciiTheme="minorHAnsi" w:hAnsiTheme="minorHAnsi"/>
          <w:b/>
          <w:noProof/>
          <w:sz w:val="28"/>
          <w:szCs w:val="28"/>
          <w:lang w:val="es-ES"/>
        </w:rPr>
      </w:pPr>
    </w:p>
    <w:p w:rsidR="00511909" w:rsidRPr="00511909" w:rsidRDefault="00511909" w:rsidP="00511909">
      <w:pPr>
        <w:pStyle w:val="Piedepgina"/>
        <w:numPr>
          <w:ilvl w:val="0"/>
          <w:numId w:val="6"/>
        </w:numPr>
        <w:rPr>
          <w:rFonts w:asciiTheme="minorHAnsi" w:hAnsiTheme="minorHAnsi"/>
          <w:b/>
          <w:noProof/>
          <w:sz w:val="28"/>
          <w:szCs w:val="28"/>
          <w:lang w:val="es-ES"/>
        </w:rPr>
      </w:pPr>
      <w:r w:rsidRPr="00511909">
        <w:rPr>
          <w:rFonts w:asciiTheme="minorHAnsi" w:hAnsiTheme="minorHAnsi"/>
          <w:b/>
          <w:noProof/>
          <w:sz w:val="28"/>
          <w:szCs w:val="28"/>
          <w:lang w:val="es-ES"/>
        </w:rPr>
        <w:t>Recoge los objetivos transversales a la acción política y las líneas de actuación de las administraciones públicas frente a la despoblación, el envejecimiento y los efectos de la población flotante</w:t>
      </w:r>
    </w:p>
    <w:p w:rsidR="00511909" w:rsidRPr="00511909" w:rsidRDefault="00511909" w:rsidP="00511909">
      <w:pPr>
        <w:pStyle w:val="Encabezado"/>
        <w:ind w:left="2127"/>
        <w:jc w:val="both"/>
        <w:rPr>
          <w:rFonts w:asciiTheme="minorHAnsi" w:hAnsiTheme="minorHAnsi"/>
          <w:sz w:val="28"/>
          <w:szCs w:val="28"/>
        </w:rPr>
      </w:pPr>
    </w:p>
    <w:p w:rsidR="00511909" w:rsidRPr="00511909" w:rsidRDefault="00511909" w:rsidP="00511909">
      <w:pPr>
        <w:pStyle w:val="Encabezado"/>
        <w:ind w:left="2127"/>
        <w:jc w:val="both"/>
        <w:rPr>
          <w:rFonts w:asciiTheme="minorHAnsi" w:hAnsiTheme="minorHAnsi"/>
          <w:sz w:val="28"/>
          <w:szCs w:val="28"/>
        </w:rPr>
      </w:pPr>
      <w:r w:rsidRPr="00511909">
        <w:rPr>
          <w:rFonts w:asciiTheme="minorHAnsi" w:hAnsiTheme="minorHAnsi"/>
          <w:sz w:val="28"/>
          <w:szCs w:val="28"/>
        </w:rPr>
        <w:t>El Consejo de Ministros ha aprobado un acuerdo sobre las directrices generales de la Estrategia Nacional frente al Reto Demográfico, elaboradas por el Comisionado del Gobierno frente al Reto Demográfico, adscrito al Ministerio de Política Territorial y Función Pública.</w:t>
      </w:r>
    </w:p>
    <w:p w:rsidR="00511909" w:rsidRPr="00511909" w:rsidRDefault="00511909" w:rsidP="00511909">
      <w:pPr>
        <w:pStyle w:val="Encabezado"/>
        <w:ind w:left="2127"/>
        <w:jc w:val="both"/>
        <w:rPr>
          <w:rFonts w:asciiTheme="minorHAnsi" w:hAnsiTheme="minorHAnsi"/>
          <w:sz w:val="28"/>
          <w:szCs w:val="28"/>
        </w:rPr>
      </w:pPr>
    </w:p>
    <w:p w:rsidR="00511909" w:rsidRPr="00511909" w:rsidRDefault="00511909" w:rsidP="00511909">
      <w:pPr>
        <w:pStyle w:val="Encabezado"/>
        <w:ind w:left="2127"/>
        <w:jc w:val="both"/>
        <w:rPr>
          <w:rFonts w:asciiTheme="minorHAnsi" w:hAnsiTheme="minorHAnsi"/>
          <w:sz w:val="28"/>
          <w:szCs w:val="28"/>
        </w:rPr>
      </w:pPr>
      <w:r w:rsidRPr="00511909">
        <w:rPr>
          <w:rFonts w:asciiTheme="minorHAnsi" w:hAnsiTheme="minorHAnsi"/>
          <w:sz w:val="28"/>
          <w:szCs w:val="28"/>
        </w:rPr>
        <w:t xml:space="preserve">Las directrices plantean una Estrategia de carácter global y transversal, desde una perspectiva multidisciplinar y con la participación de todos los departamentos a través del trabajo de un grupo interministerial, incorporando una perspectiva demográfica en el análisis de las actuaciones sectoriales. </w:t>
      </w:r>
    </w:p>
    <w:p w:rsidR="00511909" w:rsidRPr="00511909" w:rsidRDefault="00511909" w:rsidP="00511909">
      <w:pPr>
        <w:pStyle w:val="Encabezado"/>
        <w:ind w:left="2127"/>
        <w:jc w:val="both"/>
        <w:rPr>
          <w:rFonts w:asciiTheme="minorHAnsi" w:hAnsiTheme="minorHAnsi"/>
          <w:sz w:val="28"/>
          <w:szCs w:val="28"/>
        </w:rPr>
      </w:pPr>
    </w:p>
    <w:p w:rsidR="00511909" w:rsidRPr="00511909" w:rsidRDefault="00511909" w:rsidP="00511909">
      <w:pPr>
        <w:pStyle w:val="Encabezado"/>
        <w:ind w:left="2127"/>
        <w:jc w:val="both"/>
        <w:rPr>
          <w:rFonts w:asciiTheme="minorHAnsi" w:hAnsiTheme="minorHAnsi"/>
          <w:sz w:val="28"/>
          <w:szCs w:val="28"/>
        </w:rPr>
      </w:pPr>
      <w:r w:rsidRPr="00511909">
        <w:rPr>
          <w:rFonts w:asciiTheme="minorHAnsi" w:hAnsiTheme="minorHAnsi"/>
          <w:sz w:val="28"/>
          <w:szCs w:val="28"/>
        </w:rPr>
        <w:t>Las directrices centran la Estrategia en las tres cuestiones demográficas acordadas en la Conferencia de Presidentes: despoblación, envejecimiento y efectos de la población flotante. Asimismo, recoge un diagnóstico de las principales variables de población en España, presentado previamente a las comunidades autónomas.</w:t>
      </w:r>
    </w:p>
    <w:p w:rsidR="00511909" w:rsidRPr="00511909" w:rsidRDefault="00511909" w:rsidP="00511909">
      <w:pPr>
        <w:pStyle w:val="Encabezado"/>
        <w:ind w:left="2127"/>
        <w:jc w:val="both"/>
        <w:rPr>
          <w:rFonts w:asciiTheme="minorHAnsi" w:hAnsiTheme="minorHAnsi"/>
          <w:sz w:val="28"/>
          <w:szCs w:val="28"/>
        </w:rPr>
      </w:pPr>
    </w:p>
    <w:p w:rsidR="00511909" w:rsidRPr="00511909" w:rsidRDefault="00511909" w:rsidP="00511909">
      <w:pPr>
        <w:pStyle w:val="Encabezado"/>
        <w:ind w:left="2127"/>
        <w:jc w:val="both"/>
        <w:rPr>
          <w:rFonts w:asciiTheme="minorHAnsi" w:hAnsiTheme="minorHAnsi"/>
          <w:sz w:val="28"/>
          <w:szCs w:val="28"/>
        </w:rPr>
      </w:pPr>
      <w:r w:rsidRPr="00511909">
        <w:rPr>
          <w:rFonts w:asciiTheme="minorHAnsi" w:hAnsiTheme="minorHAnsi"/>
          <w:sz w:val="28"/>
          <w:szCs w:val="28"/>
        </w:rPr>
        <w:t xml:space="preserve">Todos los ministerios incorporan </w:t>
      </w:r>
      <w:r w:rsidRPr="00511909">
        <w:rPr>
          <w:rFonts w:asciiTheme="minorHAnsi" w:hAnsiTheme="minorHAnsi"/>
        </w:rPr>
        <w:t>a las directrices de la Estrategia más de 80 medidas, referidas a jóvenes, mujeres, atención a la población rural, emprendedores, turismo, implantación de la Administración en el territorio o actividad económica.</w:t>
      </w:r>
    </w:p>
    <w:p w:rsidR="00511909" w:rsidRPr="00511909" w:rsidRDefault="00511909" w:rsidP="00511909">
      <w:pPr>
        <w:pStyle w:val="Encabezado"/>
        <w:ind w:left="2127"/>
        <w:jc w:val="both"/>
        <w:rPr>
          <w:rFonts w:asciiTheme="minorHAnsi" w:hAnsiTheme="minorHAnsi"/>
          <w:sz w:val="28"/>
          <w:szCs w:val="28"/>
        </w:rPr>
      </w:pPr>
    </w:p>
    <w:p w:rsidR="00511909" w:rsidRPr="00511909" w:rsidRDefault="00511909" w:rsidP="00511909">
      <w:pPr>
        <w:pStyle w:val="Encabezado"/>
        <w:ind w:left="2127"/>
        <w:jc w:val="both"/>
        <w:rPr>
          <w:rFonts w:asciiTheme="minorHAnsi" w:hAnsiTheme="minorHAnsi"/>
          <w:b/>
          <w:sz w:val="28"/>
          <w:szCs w:val="28"/>
          <w:u w:val="single"/>
        </w:rPr>
      </w:pPr>
      <w:r w:rsidRPr="00511909">
        <w:rPr>
          <w:rFonts w:asciiTheme="minorHAnsi" w:hAnsiTheme="minorHAnsi"/>
          <w:b/>
          <w:sz w:val="28"/>
          <w:szCs w:val="28"/>
          <w:u w:val="single"/>
        </w:rPr>
        <w:t>Siete objetivos transversales</w:t>
      </w:r>
    </w:p>
    <w:p w:rsidR="00511909" w:rsidRPr="00511909" w:rsidRDefault="00511909" w:rsidP="00511909">
      <w:pPr>
        <w:pStyle w:val="Encabezado"/>
        <w:ind w:left="2127"/>
        <w:jc w:val="both"/>
        <w:rPr>
          <w:rFonts w:asciiTheme="minorHAnsi" w:hAnsiTheme="minorHAnsi"/>
          <w:sz w:val="28"/>
          <w:szCs w:val="28"/>
        </w:rPr>
      </w:pPr>
    </w:p>
    <w:p w:rsidR="00511909" w:rsidRPr="00511909" w:rsidRDefault="00511909" w:rsidP="00511909">
      <w:pPr>
        <w:pStyle w:val="Encabezado"/>
        <w:numPr>
          <w:ilvl w:val="0"/>
          <w:numId w:val="1"/>
        </w:numPr>
        <w:ind w:left="2694"/>
        <w:jc w:val="both"/>
        <w:rPr>
          <w:rFonts w:asciiTheme="minorHAnsi" w:hAnsiTheme="minorHAnsi"/>
          <w:sz w:val="28"/>
          <w:szCs w:val="28"/>
        </w:rPr>
      </w:pPr>
      <w:r w:rsidRPr="00511909">
        <w:rPr>
          <w:rFonts w:asciiTheme="minorHAnsi" w:hAnsiTheme="minorHAnsi"/>
          <w:sz w:val="28"/>
          <w:szCs w:val="28"/>
        </w:rPr>
        <w:t>Garantizar una plena conectividad territorial, con una adecuada cobertura de internet de banda ancha y de telefonía móvil en todo el territorio, de acuerdo con la Agenda Digital Europea 2020.</w:t>
      </w:r>
    </w:p>
    <w:p w:rsidR="00511909" w:rsidRPr="00511909" w:rsidRDefault="00511909" w:rsidP="00511909">
      <w:pPr>
        <w:pStyle w:val="Encabezado"/>
        <w:ind w:left="2694"/>
        <w:jc w:val="both"/>
        <w:rPr>
          <w:rFonts w:asciiTheme="minorHAnsi" w:hAnsiTheme="minorHAnsi"/>
          <w:sz w:val="28"/>
          <w:szCs w:val="28"/>
        </w:rPr>
      </w:pPr>
    </w:p>
    <w:p w:rsidR="00511909" w:rsidRPr="00511909" w:rsidRDefault="00511909" w:rsidP="00511909">
      <w:pPr>
        <w:pStyle w:val="Encabezado"/>
        <w:numPr>
          <w:ilvl w:val="0"/>
          <w:numId w:val="1"/>
        </w:numPr>
        <w:ind w:left="2694"/>
        <w:jc w:val="both"/>
        <w:rPr>
          <w:rFonts w:asciiTheme="minorHAnsi" w:hAnsiTheme="minorHAnsi"/>
          <w:sz w:val="28"/>
          <w:szCs w:val="28"/>
        </w:rPr>
      </w:pPr>
      <w:r w:rsidRPr="00511909">
        <w:rPr>
          <w:rFonts w:asciiTheme="minorHAnsi" w:hAnsiTheme="minorHAnsi"/>
          <w:sz w:val="28"/>
          <w:szCs w:val="28"/>
        </w:rPr>
        <w:lastRenderedPageBreak/>
        <w:t>Asegurar una apropiada prestación de servicios básicos a toda la población en condiciones de equidad, adaptada a las características de cada territorio.</w:t>
      </w:r>
    </w:p>
    <w:p w:rsidR="00511909" w:rsidRPr="00511909" w:rsidRDefault="00511909" w:rsidP="00511909">
      <w:pPr>
        <w:pStyle w:val="Prrafodelista"/>
        <w:rPr>
          <w:rFonts w:asciiTheme="minorHAnsi" w:hAnsiTheme="minorHAnsi"/>
          <w:sz w:val="28"/>
          <w:szCs w:val="28"/>
        </w:rPr>
      </w:pPr>
    </w:p>
    <w:p w:rsidR="00511909" w:rsidRPr="00511909" w:rsidRDefault="00511909" w:rsidP="00511909">
      <w:pPr>
        <w:pStyle w:val="Encabezado"/>
        <w:numPr>
          <w:ilvl w:val="0"/>
          <w:numId w:val="1"/>
        </w:numPr>
        <w:ind w:left="2694"/>
        <w:jc w:val="both"/>
        <w:rPr>
          <w:rFonts w:asciiTheme="minorHAnsi" w:hAnsiTheme="minorHAnsi"/>
          <w:sz w:val="28"/>
          <w:szCs w:val="28"/>
        </w:rPr>
      </w:pPr>
      <w:r w:rsidRPr="00511909">
        <w:rPr>
          <w:rFonts w:asciiTheme="minorHAnsi" w:hAnsiTheme="minorHAnsi"/>
          <w:sz w:val="28"/>
          <w:szCs w:val="28"/>
        </w:rPr>
        <w:t>Incorporar el impacto y la perspectiva demográfica en la elaboración de leyes, planes y programas de inversión, favoreciendo la redistribución territorial en favor de una mayor cohesión social.</w:t>
      </w:r>
    </w:p>
    <w:p w:rsidR="00511909" w:rsidRPr="00511909" w:rsidRDefault="00511909" w:rsidP="00511909">
      <w:pPr>
        <w:pStyle w:val="Encabezado"/>
        <w:numPr>
          <w:ilvl w:val="0"/>
          <w:numId w:val="1"/>
        </w:numPr>
        <w:ind w:left="2694"/>
        <w:jc w:val="both"/>
        <w:rPr>
          <w:rFonts w:asciiTheme="minorHAnsi" w:hAnsiTheme="minorHAnsi"/>
          <w:sz w:val="28"/>
          <w:szCs w:val="28"/>
        </w:rPr>
      </w:pPr>
      <w:r w:rsidRPr="00511909">
        <w:rPr>
          <w:rFonts w:asciiTheme="minorHAnsi" w:hAnsiTheme="minorHAnsi"/>
          <w:sz w:val="28"/>
          <w:szCs w:val="28"/>
        </w:rPr>
        <w:t>Avanzar en la simplificación normativa y administrativa, para los pequeños municipios, con el fin de facilitar la gestión de los ayuntamientos.</w:t>
      </w:r>
    </w:p>
    <w:p w:rsidR="00511909" w:rsidRPr="00511909" w:rsidRDefault="00511909" w:rsidP="00511909">
      <w:pPr>
        <w:pStyle w:val="Prrafodelista"/>
        <w:rPr>
          <w:rFonts w:asciiTheme="minorHAnsi" w:hAnsiTheme="minorHAnsi"/>
          <w:sz w:val="28"/>
          <w:szCs w:val="28"/>
        </w:rPr>
      </w:pPr>
    </w:p>
    <w:p w:rsidR="00511909" w:rsidRPr="00511909" w:rsidRDefault="00511909" w:rsidP="00511909">
      <w:pPr>
        <w:pStyle w:val="Encabezado"/>
        <w:numPr>
          <w:ilvl w:val="0"/>
          <w:numId w:val="1"/>
        </w:numPr>
        <w:ind w:left="2694"/>
        <w:jc w:val="both"/>
        <w:rPr>
          <w:rFonts w:asciiTheme="minorHAnsi" w:hAnsiTheme="minorHAnsi"/>
          <w:sz w:val="28"/>
          <w:szCs w:val="28"/>
        </w:rPr>
      </w:pPr>
      <w:r w:rsidRPr="00511909">
        <w:rPr>
          <w:rFonts w:asciiTheme="minorHAnsi" w:hAnsiTheme="minorHAnsi"/>
          <w:sz w:val="28"/>
          <w:szCs w:val="28"/>
        </w:rPr>
        <w:t>Eliminar los estereotipos y poner en valor la imagen y la reputación de los territorios más afectados por los riesgos demográficos.</w:t>
      </w:r>
    </w:p>
    <w:p w:rsidR="00511909" w:rsidRPr="00511909" w:rsidRDefault="00511909" w:rsidP="00511909">
      <w:pPr>
        <w:pStyle w:val="Prrafodelista"/>
        <w:rPr>
          <w:rFonts w:asciiTheme="minorHAnsi" w:hAnsiTheme="minorHAnsi"/>
          <w:sz w:val="28"/>
          <w:szCs w:val="28"/>
        </w:rPr>
      </w:pPr>
    </w:p>
    <w:p w:rsidR="00511909" w:rsidRPr="00511909" w:rsidRDefault="00511909" w:rsidP="00511909">
      <w:pPr>
        <w:pStyle w:val="Encabezado"/>
        <w:numPr>
          <w:ilvl w:val="0"/>
          <w:numId w:val="1"/>
        </w:numPr>
        <w:ind w:left="2694"/>
        <w:jc w:val="both"/>
        <w:rPr>
          <w:rFonts w:asciiTheme="minorHAnsi" w:hAnsiTheme="minorHAnsi"/>
          <w:sz w:val="28"/>
          <w:szCs w:val="28"/>
        </w:rPr>
      </w:pPr>
      <w:r w:rsidRPr="00511909">
        <w:rPr>
          <w:rFonts w:asciiTheme="minorHAnsi" w:hAnsiTheme="minorHAnsi"/>
          <w:sz w:val="28"/>
          <w:szCs w:val="28"/>
        </w:rPr>
        <w:t>Mejorar los mecanismos para una mayor colaboración público-privada, potenciando la incorporación de los factores demográficos en la responsabilidad social del sector privado, para convertir todos los territorios, sin exclusiones, en escenarios de oportunidades.</w:t>
      </w:r>
    </w:p>
    <w:p w:rsidR="00511909" w:rsidRPr="00511909" w:rsidRDefault="00511909" w:rsidP="00511909">
      <w:pPr>
        <w:pStyle w:val="Prrafodelista"/>
        <w:rPr>
          <w:rFonts w:asciiTheme="minorHAnsi" w:hAnsiTheme="minorHAnsi"/>
          <w:sz w:val="28"/>
          <w:szCs w:val="28"/>
        </w:rPr>
      </w:pPr>
    </w:p>
    <w:p w:rsidR="00511909" w:rsidRPr="00511909" w:rsidRDefault="00511909" w:rsidP="00511909">
      <w:pPr>
        <w:pStyle w:val="Encabezado"/>
        <w:numPr>
          <w:ilvl w:val="0"/>
          <w:numId w:val="1"/>
        </w:numPr>
        <w:ind w:left="2694"/>
        <w:jc w:val="both"/>
        <w:rPr>
          <w:rFonts w:asciiTheme="minorHAnsi" w:hAnsiTheme="minorHAnsi"/>
          <w:sz w:val="28"/>
          <w:szCs w:val="28"/>
        </w:rPr>
      </w:pPr>
      <w:r w:rsidRPr="00511909">
        <w:rPr>
          <w:rFonts w:asciiTheme="minorHAnsi" w:hAnsiTheme="minorHAnsi"/>
          <w:sz w:val="28"/>
          <w:szCs w:val="28"/>
        </w:rPr>
        <w:t>Alinear las líneas de acción y los propósitos de la Estrategia con el cumplimiento de los Objetivos de Desarrollo Sostenible y de la Agenda 2030.</w:t>
      </w:r>
    </w:p>
    <w:p w:rsidR="00511909" w:rsidRPr="00511909" w:rsidRDefault="00511909" w:rsidP="00511909">
      <w:pPr>
        <w:pStyle w:val="Encabezado"/>
        <w:ind w:left="2127"/>
        <w:jc w:val="both"/>
        <w:rPr>
          <w:rFonts w:asciiTheme="minorHAnsi" w:hAnsiTheme="minorHAnsi"/>
          <w:sz w:val="28"/>
          <w:szCs w:val="28"/>
        </w:rPr>
      </w:pPr>
    </w:p>
    <w:p w:rsidR="00511909" w:rsidRPr="00511909" w:rsidRDefault="00511909" w:rsidP="00511909">
      <w:pPr>
        <w:pStyle w:val="Encabezado"/>
        <w:ind w:left="2127"/>
        <w:jc w:val="both"/>
        <w:rPr>
          <w:rFonts w:asciiTheme="minorHAnsi" w:hAnsiTheme="minorHAnsi"/>
          <w:b/>
          <w:sz w:val="28"/>
          <w:szCs w:val="28"/>
          <w:u w:val="single"/>
        </w:rPr>
      </w:pPr>
      <w:r w:rsidRPr="00511909">
        <w:rPr>
          <w:rFonts w:asciiTheme="minorHAnsi" w:hAnsiTheme="minorHAnsi"/>
          <w:b/>
          <w:sz w:val="28"/>
          <w:szCs w:val="28"/>
          <w:u w:val="single"/>
        </w:rPr>
        <w:t xml:space="preserve">Líneas de acción </w:t>
      </w:r>
    </w:p>
    <w:p w:rsidR="00511909" w:rsidRPr="00511909" w:rsidRDefault="00511909" w:rsidP="00511909">
      <w:pPr>
        <w:pStyle w:val="Encabezado"/>
        <w:ind w:left="2835"/>
        <w:jc w:val="both"/>
        <w:rPr>
          <w:rFonts w:asciiTheme="minorHAnsi" w:hAnsiTheme="minorHAnsi"/>
          <w:sz w:val="28"/>
          <w:szCs w:val="28"/>
        </w:rPr>
      </w:pPr>
    </w:p>
    <w:p w:rsidR="00511909" w:rsidRPr="00511909" w:rsidRDefault="00511909" w:rsidP="00511909">
      <w:pPr>
        <w:pStyle w:val="Encabezado"/>
        <w:numPr>
          <w:ilvl w:val="0"/>
          <w:numId w:val="3"/>
        </w:numPr>
        <w:ind w:left="2835" w:hanging="425"/>
        <w:jc w:val="both"/>
        <w:rPr>
          <w:rFonts w:asciiTheme="minorHAnsi" w:hAnsiTheme="minorHAnsi"/>
          <w:sz w:val="28"/>
          <w:szCs w:val="28"/>
        </w:rPr>
      </w:pPr>
      <w:r w:rsidRPr="00511909">
        <w:rPr>
          <w:rFonts w:asciiTheme="minorHAnsi" w:hAnsiTheme="minorHAnsi"/>
          <w:sz w:val="28"/>
          <w:szCs w:val="28"/>
        </w:rPr>
        <w:t>AFRONTAR LA DESPOBLACIÓN</w:t>
      </w:r>
    </w:p>
    <w:p w:rsidR="00511909" w:rsidRPr="00511909" w:rsidRDefault="00511909" w:rsidP="00511909">
      <w:pPr>
        <w:pStyle w:val="Encabezado"/>
        <w:ind w:left="2835"/>
        <w:jc w:val="both"/>
        <w:rPr>
          <w:rFonts w:asciiTheme="minorHAnsi" w:hAnsiTheme="minorHAnsi"/>
          <w:sz w:val="28"/>
          <w:szCs w:val="28"/>
        </w:rPr>
      </w:pPr>
    </w:p>
    <w:p w:rsidR="00511909" w:rsidRPr="00511909" w:rsidRDefault="00511909" w:rsidP="00511909">
      <w:pPr>
        <w:pStyle w:val="Encabezado"/>
        <w:numPr>
          <w:ilvl w:val="0"/>
          <w:numId w:val="2"/>
        </w:numPr>
        <w:ind w:left="2835"/>
        <w:jc w:val="both"/>
        <w:rPr>
          <w:rFonts w:asciiTheme="minorHAnsi" w:hAnsiTheme="minorHAnsi"/>
          <w:sz w:val="28"/>
          <w:szCs w:val="28"/>
        </w:rPr>
      </w:pPr>
      <w:r w:rsidRPr="00511909">
        <w:rPr>
          <w:rFonts w:asciiTheme="minorHAnsi" w:hAnsiTheme="minorHAnsi"/>
          <w:sz w:val="28"/>
          <w:szCs w:val="28"/>
        </w:rPr>
        <w:t>Garantizar la funcionalidad de los territorios afectados por la despoblación y la baja densidad.</w:t>
      </w:r>
    </w:p>
    <w:p w:rsidR="00511909" w:rsidRPr="00511909" w:rsidRDefault="00511909" w:rsidP="00511909">
      <w:pPr>
        <w:pStyle w:val="Encabezado"/>
        <w:ind w:left="2835"/>
        <w:jc w:val="both"/>
        <w:rPr>
          <w:rFonts w:asciiTheme="minorHAnsi" w:hAnsiTheme="minorHAnsi"/>
          <w:sz w:val="28"/>
          <w:szCs w:val="28"/>
        </w:rPr>
      </w:pPr>
    </w:p>
    <w:p w:rsidR="00511909" w:rsidRPr="00511909" w:rsidRDefault="00511909" w:rsidP="00511909">
      <w:pPr>
        <w:pStyle w:val="Encabezado"/>
        <w:numPr>
          <w:ilvl w:val="0"/>
          <w:numId w:val="2"/>
        </w:numPr>
        <w:ind w:left="2835"/>
        <w:jc w:val="both"/>
        <w:rPr>
          <w:rFonts w:asciiTheme="minorHAnsi" w:hAnsiTheme="minorHAnsi"/>
          <w:sz w:val="28"/>
          <w:szCs w:val="28"/>
        </w:rPr>
      </w:pPr>
      <w:r w:rsidRPr="00511909">
        <w:rPr>
          <w:rFonts w:asciiTheme="minorHAnsi" w:hAnsiTheme="minorHAnsi"/>
          <w:sz w:val="28"/>
          <w:szCs w:val="28"/>
        </w:rPr>
        <w:t>Mejorar la competitividad y facilitar el desarrollo de nuevas actividades económicas y el fomento del emprendimiento.</w:t>
      </w:r>
    </w:p>
    <w:p w:rsidR="00511909" w:rsidRPr="00511909" w:rsidRDefault="00511909" w:rsidP="00511909">
      <w:pPr>
        <w:pStyle w:val="Prrafodelista"/>
        <w:rPr>
          <w:rFonts w:asciiTheme="minorHAnsi" w:hAnsiTheme="minorHAnsi"/>
          <w:sz w:val="28"/>
          <w:szCs w:val="28"/>
        </w:rPr>
      </w:pPr>
    </w:p>
    <w:p w:rsidR="00511909" w:rsidRPr="00511909" w:rsidRDefault="00511909" w:rsidP="00511909">
      <w:pPr>
        <w:pStyle w:val="Encabezado"/>
        <w:numPr>
          <w:ilvl w:val="0"/>
          <w:numId w:val="2"/>
        </w:numPr>
        <w:ind w:left="2835"/>
        <w:jc w:val="both"/>
        <w:rPr>
          <w:rFonts w:asciiTheme="minorHAnsi" w:hAnsiTheme="minorHAnsi"/>
          <w:sz w:val="28"/>
          <w:szCs w:val="28"/>
        </w:rPr>
      </w:pPr>
      <w:r w:rsidRPr="00511909">
        <w:rPr>
          <w:rFonts w:asciiTheme="minorHAnsi" w:hAnsiTheme="minorHAnsi"/>
          <w:sz w:val="28"/>
          <w:szCs w:val="28"/>
        </w:rPr>
        <w:t>Favorecer el asentamiento y la fijación de población en el medio rural.</w:t>
      </w:r>
    </w:p>
    <w:p w:rsidR="00511909" w:rsidRPr="00511909" w:rsidRDefault="00511909" w:rsidP="00511909">
      <w:pPr>
        <w:pStyle w:val="Encabezado"/>
        <w:ind w:left="2835"/>
        <w:jc w:val="both"/>
        <w:rPr>
          <w:rFonts w:asciiTheme="minorHAnsi" w:hAnsiTheme="minorHAnsi"/>
          <w:sz w:val="28"/>
          <w:szCs w:val="28"/>
        </w:rPr>
      </w:pPr>
    </w:p>
    <w:p w:rsidR="00511909" w:rsidRPr="00511909" w:rsidRDefault="00511909" w:rsidP="00511909">
      <w:pPr>
        <w:pStyle w:val="Encabezado"/>
        <w:numPr>
          <w:ilvl w:val="0"/>
          <w:numId w:val="3"/>
        </w:numPr>
        <w:ind w:left="2835" w:hanging="425"/>
        <w:jc w:val="both"/>
        <w:rPr>
          <w:rFonts w:asciiTheme="minorHAnsi" w:hAnsiTheme="minorHAnsi"/>
          <w:sz w:val="28"/>
          <w:szCs w:val="28"/>
        </w:rPr>
      </w:pPr>
      <w:r w:rsidRPr="00511909">
        <w:rPr>
          <w:rFonts w:asciiTheme="minorHAnsi" w:hAnsiTheme="minorHAnsi"/>
          <w:sz w:val="28"/>
          <w:szCs w:val="28"/>
        </w:rPr>
        <w:tab/>
        <w:t>AFRONTAR LOS DESEQUILIBRIOS DE NUESTRA PIRÁMIDE DE POBLACIÓN</w:t>
      </w:r>
    </w:p>
    <w:p w:rsidR="00511909" w:rsidRPr="00511909" w:rsidRDefault="00511909" w:rsidP="00511909">
      <w:pPr>
        <w:pStyle w:val="Encabezado"/>
        <w:ind w:left="2835"/>
        <w:jc w:val="both"/>
        <w:rPr>
          <w:rFonts w:asciiTheme="minorHAnsi" w:hAnsiTheme="minorHAnsi"/>
          <w:sz w:val="28"/>
          <w:szCs w:val="28"/>
        </w:rPr>
      </w:pPr>
    </w:p>
    <w:p w:rsidR="00511909" w:rsidRPr="00511909" w:rsidRDefault="00511909" w:rsidP="00511909">
      <w:pPr>
        <w:pStyle w:val="Encabezado"/>
        <w:numPr>
          <w:ilvl w:val="0"/>
          <w:numId w:val="4"/>
        </w:numPr>
        <w:ind w:left="2835"/>
        <w:jc w:val="both"/>
        <w:rPr>
          <w:rFonts w:asciiTheme="minorHAnsi" w:hAnsiTheme="minorHAnsi"/>
          <w:sz w:val="28"/>
          <w:szCs w:val="28"/>
        </w:rPr>
      </w:pPr>
      <w:r w:rsidRPr="00511909">
        <w:rPr>
          <w:rFonts w:asciiTheme="minorHAnsi" w:hAnsiTheme="minorHAnsi"/>
          <w:sz w:val="28"/>
          <w:szCs w:val="28"/>
        </w:rPr>
        <w:lastRenderedPageBreak/>
        <w:t>Coordinar las acciones referidas a personas mayores, envejecimiento activo y atención a la dependencia, en todo el territorio.</w:t>
      </w:r>
    </w:p>
    <w:p w:rsidR="00511909" w:rsidRPr="00511909" w:rsidRDefault="00511909" w:rsidP="00511909">
      <w:pPr>
        <w:pStyle w:val="Encabezado"/>
        <w:ind w:left="2835"/>
        <w:jc w:val="both"/>
        <w:rPr>
          <w:rFonts w:asciiTheme="minorHAnsi" w:hAnsiTheme="minorHAnsi"/>
          <w:sz w:val="28"/>
          <w:szCs w:val="28"/>
        </w:rPr>
      </w:pPr>
    </w:p>
    <w:p w:rsidR="00511909" w:rsidRPr="00511909" w:rsidRDefault="00511909" w:rsidP="00511909">
      <w:pPr>
        <w:pStyle w:val="Encabezado"/>
        <w:numPr>
          <w:ilvl w:val="0"/>
          <w:numId w:val="4"/>
        </w:numPr>
        <w:ind w:left="2835"/>
        <w:jc w:val="both"/>
        <w:rPr>
          <w:rFonts w:asciiTheme="minorHAnsi" w:hAnsiTheme="minorHAnsi"/>
          <w:sz w:val="28"/>
          <w:szCs w:val="28"/>
        </w:rPr>
      </w:pPr>
      <w:r w:rsidRPr="00511909">
        <w:rPr>
          <w:rFonts w:asciiTheme="minorHAnsi" w:hAnsiTheme="minorHAnsi"/>
          <w:sz w:val="28"/>
          <w:szCs w:val="28"/>
        </w:rPr>
        <w:t>Apoyar la puesta en marcha de proyectos de desarrollo socioeconómico de jóvenes, que garanticen el relevo intergeneracional.</w:t>
      </w:r>
    </w:p>
    <w:p w:rsidR="00511909" w:rsidRPr="00511909" w:rsidRDefault="00511909" w:rsidP="00511909">
      <w:pPr>
        <w:pStyle w:val="Prrafodelista"/>
        <w:rPr>
          <w:rFonts w:asciiTheme="minorHAnsi" w:hAnsiTheme="minorHAnsi"/>
          <w:sz w:val="28"/>
          <w:szCs w:val="28"/>
        </w:rPr>
      </w:pPr>
    </w:p>
    <w:p w:rsidR="00511909" w:rsidRPr="00511909" w:rsidRDefault="00511909" w:rsidP="00511909">
      <w:pPr>
        <w:pStyle w:val="Encabezado"/>
        <w:numPr>
          <w:ilvl w:val="0"/>
          <w:numId w:val="4"/>
        </w:numPr>
        <w:ind w:left="2835"/>
        <w:jc w:val="both"/>
        <w:rPr>
          <w:rFonts w:asciiTheme="minorHAnsi" w:hAnsiTheme="minorHAnsi"/>
          <w:sz w:val="28"/>
          <w:szCs w:val="28"/>
        </w:rPr>
      </w:pPr>
      <w:r w:rsidRPr="00511909">
        <w:rPr>
          <w:rFonts w:asciiTheme="minorHAnsi" w:hAnsiTheme="minorHAnsi"/>
          <w:sz w:val="28"/>
          <w:szCs w:val="28"/>
        </w:rPr>
        <w:t>Facilitar el desarrollo de proyectos que garanticen la libertad de residencia efectiva de las mujeres en el territorio.</w:t>
      </w:r>
    </w:p>
    <w:p w:rsidR="00511909" w:rsidRPr="00511909" w:rsidRDefault="00511909" w:rsidP="00511909">
      <w:pPr>
        <w:pStyle w:val="Prrafodelista"/>
        <w:rPr>
          <w:rFonts w:asciiTheme="minorHAnsi" w:hAnsiTheme="minorHAnsi"/>
          <w:sz w:val="28"/>
          <w:szCs w:val="28"/>
        </w:rPr>
      </w:pPr>
    </w:p>
    <w:p w:rsidR="00511909" w:rsidRPr="00511909" w:rsidRDefault="00511909" w:rsidP="00511909">
      <w:pPr>
        <w:pStyle w:val="Encabezado"/>
        <w:numPr>
          <w:ilvl w:val="0"/>
          <w:numId w:val="4"/>
        </w:numPr>
        <w:ind w:left="2835"/>
        <w:jc w:val="both"/>
        <w:rPr>
          <w:rFonts w:asciiTheme="minorHAnsi" w:hAnsiTheme="minorHAnsi"/>
          <w:sz w:val="28"/>
          <w:szCs w:val="28"/>
        </w:rPr>
      </w:pPr>
      <w:r w:rsidRPr="00511909">
        <w:rPr>
          <w:rFonts w:asciiTheme="minorHAnsi" w:hAnsiTheme="minorHAnsi"/>
          <w:sz w:val="28"/>
          <w:szCs w:val="28"/>
        </w:rPr>
        <w:t xml:space="preserve">Garantizar las condiciones que favorezcan la crianza </w:t>
      </w:r>
      <w:r w:rsidRPr="00511909">
        <w:rPr>
          <w:rFonts w:asciiTheme="minorHAnsi" w:hAnsiTheme="minorHAnsi"/>
          <w:color w:val="000000" w:themeColor="text1"/>
          <w:sz w:val="28"/>
          <w:szCs w:val="28"/>
        </w:rPr>
        <w:t>de hijas e hijos</w:t>
      </w:r>
      <w:r w:rsidRPr="00511909">
        <w:rPr>
          <w:rFonts w:asciiTheme="minorHAnsi" w:hAnsiTheme="minorHAnsi"/>
          <w:sz w:val="28"/>
          <w:szCs w:val="28"/>
        </w:rPr>
        <w:t xml:space="preserve">, y que faciliten la equiparación de la </w:t>
      </w:r>
      <w:r w:rsidRPr="00511909">
        <w:rPr>
          <w:rFonts w:asciiTheme="minorHAnsi" w:hAnsiTheme="minorHAnsi"/>
          <w:color w:val="000000" w:themeColor="text1"/>
          <w:sz w:val="28"/>
          <w:szCs w:val="28"/>
        </w:rPr>
        <w:t>tasa de</w:t>
      </w:r>
      <w:r w:rsidRPr="00511909">
        <w:rPr>
          <w:rFonts w:asciiTheme="minorHAnsi" w:hAnsiTheme="minorHAnsi"/>
          <w:color w:val="FF0000"/>
          <w:sz w:val="28"/>
          <w:szCs w:val="28"/>
        </w:rPr>
        <w:t xml:space="preserve"> </w:t>
      </w:r>
      <w:r w:rsidRPr="00511909">
        <w:rPr>
          <w:rFonts w:asciiTheme="minorHAnsi" w:hAnsiTheme="minorHAnsi"/>
          <w:sz w:val="28"/>
          <w:szCs w:val="28"/>
        </w:rPr>
        <w:t xml:space="preserve">natalidad al promedio de la Unión Europea. </w:t>
      </w:r>
    </w:p>
    <w:p w:rsidR="00511909" w:rsidRPr="00511909" w:rsidRDefault="00511909" w:rsidP="00511909">
      <w:pPr>
        <w:pStyle w:val="Encabezado"/>
        <w:numPr>
          <w:ilvl w:val="0"/>
          <w:numId w:val="4"/>
        </w:numPr>
        <w:ind w:left="2835"/>
        <w:jc w:val="both"/>
        <w:rPr>
          <w:rFonts w:asciiTheme="minorHAnsi" w:hAnsiTheme="minorHAnsi"/>
          <w:sz w:val="28"/>
          <w:szCs w:val="28"/>
        </w:rPr>
      </w:pPr>
      <w:r w:rsidRPr="00511909">
        <w:rPr>
          <w:rFonts w:asciiTheme="minorHAnsi" w:hAnsiTheme="minorHAnsi"/>
          <w:sz w:val="28"/>
          <w:szCs w:val="28"/>
        </w:rPr>
        <w:t>Asegurar la igualdad de oportunidades y la no discriminación de la infancia por ámbito de residencia.</w:t>
      </w:r>
    </w:p>
    <w:p w:rsidR="00511909" w:rsidRPr="00511909" w:rsidRDefault="00511909" w:rsidP="00511909">
      <w:pPr>
        <w:pStyle w:val="Encabezado"/>
        <w:numPr>
          <w:ilvl w:val="0"/>
          <w:numId w:val="4"/>
        </w:numPr>
        <w:ind w:left="2835"/>
        <w:jc w:val="both"/>
        <w:rPr>
          <w:rFonts w:asciiTheme="minorHAnsi" w:hAnsiTheme="minorHAnsi"/>
          <w:sz w:val="28"/>
          <w:szCs w:val="28"/>
        </w:rPr>
      </w:pPr>
      <w:r w:rsidRPr="00511909">
        <w:rPr>
          <w:rFonts w:asciiTheme="minorHAnsi" w:hAnsiTheme="minorHAnsi"/>
          <w:sz w:val="28"/>
          <w:szCs w:val="28"/>
        </w:rPr>
        <w:t>Trabajar, en coordinación con la UE., para canalizar una migración regular y ordenada, y su arraigo en todo el territorio.</w:t>
      </w:r>
    </w:p>
    <w:p w:rsidR="00511909" w:rsidRPr="00511909" w:rsidRDefault="00511909" w:rsidP="00511909">
      <w:pPr>
        <w:pStyle w:val="Encabezado"/>
        <w:numPr>
          <w:ilvl w:val="0"/>
          <w:numId w:val="4"/>
        </w:numPr>
        <w:ind w:left="2835"/>
        <w:jc w:val="both"/>
        <w:rPr>
          <w:rFonts w:asciiTheme="minorHAnsi" w:hAnsiTheme="minorHAnsi"/>
          <w:sz w:val="28"/>
          <w:szCs w:val="28"/>
        </w:rPr>
      </w:pPr>
      <w:r w:rsidRPr="00511909">
        <w:rPr>
          <w:rFonts w:asciiTheme="minorHAnsi" w:hAnsiTheme="minorHAnsi"/>
          <w:sz w:val="28"/>
          <w:szCs w:val="28"/>
        </w:rPr>
        <w:t>Facilitar la vuelta de los españoles residentes en el exterior que deseen regresar a España.</w:t>
      </w:r>
    </w:p>
    <w:p w:rsidR="00511909" w:rsidRPr="00511909" w:rsidRDefault="00511909" w:rsidP="00511909">
      <w:pPr>
        <w:pStyle w:val="Encabezado"/>
        <w:ind w:left="2835"/>
        <w:jc w:val="both"/>
        <w:rPr>
          <w:rFonts w:asciiTheme="minorHAnsi" w:hAnsiTheme="minorHAnsi"/>
          <w:sz w:val="28"/>
          <w:szCs w:val="28"/>
        </w:rPr>
      </w:pPr>
    </w:p>
    <w:p w:rsidR="00511909" w:rsidRPr="00511909" w:rsidRDefault="00511909" w:rsidP="00511909">
      <w:pPr>
        <w:pStyle w:val="Encabezado"/>
        <w:numPr>
          <w:ilvl w:val="0"/>
          <w:numId w:val="3"/>
        </w:numPr>
        <w:ind w:left="2835" w:hanging="425"/>
        <w:jc w:val="both"/>
        <w:rPr>
          <w:rFonts w:asciiTheme="minorHAnsi" w:hAnsiTheme="minorHAnsi"/>
          <w:sz w:val="28"/>
          <w:szCs w:val="28"/>
        </w:rPr>
      </w:pPr>
      <w:r w:rsidRPr="00511909">
        <w:rPr>
          <w:rFonts w:asciiTheme="minorHAnsi" w:hAnsiTheme="minorHAnsi"/>
          <w:sz w:val="28"/>
          <w:szCs w:val="28"/>
        </w:rPr>
        <w:t>GESTIONAR LOS EFECTOS DE LA POBLACIÓN FLOTANTE</w:t>
      </w:r>
    </w:p>
    <w:p w:rsidR="00511909" w:rsidRPr="00511909" w:rsidRDefault="00511909" w:rsidP="00511909">
      <w:pPr>
        <w:pStyle w:val="Encabezado"/>
        <w:ind w:left="2835"/>
        <w:jc w:val="both"/>
        <w:rPr>
          <w:rFonts w:asciiTheme="minorHAnsi" w:hAnsiTheme="minorHAnsi"/>
          <w:sz w:val="28"/>
          <w:szCs w:val="28"/>
        </w:rPr>
      </w:pPr>
    </w:p>
    <w:p w:rsidR="00511909" w:rsidRPr="00511909" w:rsidRDefault="00511909" w:rsidP="00511909">
      <w:pPr>
        <w:pStyle w:val="Encabezado"/>
        <w:numPr>
          <w:ilvl w:val="0"/>
          <w:numId w:val="5"/>
        </w:numPr>
        <w:ind w:left="2835"/>
        <w:jc w:val="both"/>
        <w:rPr>
          <w:rFonts w:asciiTheme="minorHAnsi" w:hAnsiTheme="minorHAnsi"/>
          <w:sz w:val="28"/>
          <w:szCs w:val="28"/>
        </w:rPr>
      </w:pPr>
      <w:r w:rsidRPr="00511909">
        <w:rPr>
          <w:rFonts w:asciiTheme="minorHAnsi" w:hAnsiTheme="minorHAnsi"/>
          <w:sz w:val="28"/>
          <w:szCs w:val="28"/>
        </w:rPr>
        <w:t>Garantizar la prestación de servicios básica para la población residente y flotante en todo el territorio.</w:t>
      </w:r>
    </w:p>
    <w:p w:rsidR="00511909" w:rsidRPr="00511909" w:rsidRDefault="00511909" w:rsidP="00511909">
      <w:pPr>
        <w:pStyle w:val="Encabezado"/>
        <w:ind w:left="2835"/>
        <w:jc w:val="both"/>
        <w:rPr>
          <w:rFonts w:asciiTheme="minorHAnsi" w:hAnsiTheme="minorHAnsi"/>
          <w:sz w:val="28"/>
          <w:szCs w:val="28"/>
        </w:rPr>
      </w:pPr>
    </w:p>
    <w:p w:rsidR="00511909" w:rsidRPr="00511909" w:rsidRDefault="00511909" w:rsidP="00511909">
      <w:pPr>
        <w:pStyle w:val="Encabezado"/>
        <w:numPr>
          <w:ilvl w:val="0"/>
          <w:numId w:val="5"/>
        </w:numPr>
        <w:ind w:left="2835"/>
        <w:jc w:val="both"/>
        <w:rPr>
          <w:rFonts w:asciiTheme="minorHAnsi" w:hAnsiTheme="minorHAnsi"/>
          <w:sz w:val="28"/>
          <w:szCs w:val="28"/>
        </w:rPr>
      </w:pPr>
      <w:r w:rsidRPr="00511909">
        <w:rPr>
          <w:rFonts w:asciiTheme="minorHAnsi" w:hAnsiTheme="minorHAnsi"/>
          <w:sz w:val="28"/>
          <w:szCs w:val="28"/>
        </w:rPr>
        <w:t>Asegurar el dimensionamiento de las infraestructuras y equipamientos necesarios para el desarrollo socioeconómico sostenible de las áreas con intensos flujos de población flotante.</w:t>
      </w:r>
    </w:p>
    <w:p w:rsidR="00511909" w:rsidRPr="00511909" w:rsidRDefault="00511909" w:rsidP="00511909">
      <w:pPr>
        <w:pStyle w:val="Encabezado"/>
        <w:tabs>
          <w:tab w:val="clear" w:pos="4252"/>
          <w:tab w:val="clear" w:pos="8504"/>
        </w:tabs>
        <w:ind w:left="2127"/>
        <w:jc w:val="both"/>
        <w:rPr>
          <w:rFonts w:asciiTheme="minorHAnsi" w:hAnsiTheme="minorHAnsi"/>
          <w:sz w:val="28"/>
          <w:szCs w:val="28"/>
        </w:rPr>
      </w:pPr>
    </w:p>
    <w:p w:rsidR="00511909" w:rsidRPr="00511909" w:rsidRDefault="00511909" w:rsidP="00511909">
      <w:pPr>
        <w:pStyle w:val="Encabezado"/>
        <w:tabs>
          <w:tab w:val="clear" w:pos="4252"/>
          <w:tab w:val="clear" w:pos="8504"/>
        </w:tabs>
        <w:ind w:left="2127"/>
        <w:jc w:val="both"/>
        <w:rPr>
          <w:rFonts w:asciiTheme="minorHAnsi" w:hAnsiTheme="minorHAnsi"/>
          <w:sz w:val="28"/>
          <w:szCs w:val="28"/>
        </w:rPr>
      </w:pPr>
      <w:r w:rsidRPr="00511909">
        <w:rPr>
          <w:rFonts w:asciiTheme="minorHAnsi" w:hAnsiTheme="minorHAnsi"/>
          <w:sz w:val="28"/>
          <w:szCs w:val="28"/>
        </w:rPr>
        <w:t>Con la aprobación de las directrices generales de la Estrategia Nacional frente al Reto Demográfico, el Gobierno avanza en el cumplimiento del acuerdo de la Conferencia de Presidentes. Estas directrices, referidas a las actuaciones propias de la Administración General del Estado, se remitirán a las comunidades autónomas, ciudades con estatuto de autonomía y representantes de las entidades locales para su discusión junto con sus propias propuestas con el objetivo de presentar finalmente en la próxima Conferencia de Presidentes la Estrategia Nacional frente al Reto Demográfico.</w:t>
      </w:r>
    </w:p>
    <w:p w:rsidR="00511909" w:rsidRPr="00511909" w:rsidRDefault="00511909" w:rsidP="00511909">
      <w:pPr>
        <w:pStyle w:val="Encabezado"/>
        <w:tabs>
          <w:tab w:val="clear" w:pos="4252"/>
          <w:tab w:val="clear" w:pos="8504"/>
        </w:tabs>
        <w:jc w:val="both"/>
        <w:rPr>
          <w:rFonts w:asciiTheme="minorHAnsi" w:hAnsiTheme="minorHAnsi"/>
          <w:sz w:val="28"/>
          <w:szCs w:val="28"/>
        </w:rPr>
      </w:pPr>
    </w:p>
    <w:p w:rsidR="00511909" w:rsidRPr="00511909" w:rsidRDefault="00511909" w:rsidP="00511909">
      <w:pPr>
        <w:pStyle w:val="Encabezado"/>
        <w:ind w:left="2127"/>
        <w:jc w:val="both"/>
        <w:rPr>
          <w:rFonts w:asciiTheme="minorHAnsi" w:hAnsiTheme="minorHAnsi"/>
          <w:b/>
          <w:sz w:val="28"/>
          <w:szCs w:val="28"/>
          <w:u w:val="single"/>
        </w:rPr>
      </w:pPr>
      <w:r w:rsidRPr="00511909">
        <w:rPr>
          <w:rFonts w:asciiTheme="minorHAnsi" w:hAnsiTheme="minorHAnsi"/>
          <w:b/>
          <w:sz w:val="28"/>
          <w:szCs w:val="28"/>
          <w:u w:val="single"/>
        </w:rPr>
        <w:lastRenderedPageBreak/>
        <w:t>Acuerdo de la Conferencia de Presidentes</w:t>
      </w:r>
    </w:p>
    <w:p w:rsidR="00511909" w:rsidRPr="00511909" w:rsidRDefault="00511909" w:rsidP="00511909">
      <w:pPr>
        <w:pStyle w:val="Encabezado"/>
        <w:ind w:left="2127"/>
        <w:jc w:val="both"/>
        <w:rPr>
          <w:rFonts w:asciiTheme="minorHAnsi" w:hAnsiTheme="minorHAnsi"/>
          <w:b/>
          <w:sz w:val="28"/>
          <w:szCs w:val="28"/>
          <w:u w:val="single"/>
        </w:rPr>
      </w:pPr>
    </w:p>
    <w:p w:rsidR="00511909" w:rsidRPr="00511909" w:rsidRDefault="00511909" w:rsidP="00511909">
      <w:pPr>
        <w:pStyle w:val="Encabezado"/>
        <w:ind w:left="2127"/>
        <w:jc w:val="both"/>
        <w:rPr>
          <w:rFonts w:asciiTheme="minorHAnsi" w:hAnsiTheme="minorHAnsi"/>
          <w:sz w:val="28"/>
          <w:szCs w:val="28"/>
        </w:rPr>
      </w:pPr>
      <w:r w:rsidRPr="00511909">
        <w:rPr>
          <w:rFonts w:asciiTheme="minorHAnsi" w:hAnsiTheme="minorHAnsi"/>
          <w:sz w:val="28"/>
          <w:szCs w:val="28"/>
        </w:rPr>
        <w:t>El presidente del Gobierno y los presidentes de comunidades autónomas y ciudades con estatuto de autonomía acordaron en la VI Conferencia de Presidentes, el 17 de enero de 2017, afrontar los cambios demográficos que afectan a España y, de forma específica, la elaboración y el desarrollo, por parte del Gobierno de España, y contando con la colaboración de las comunidades autónomas, las ciudades con Estatuto de Autonomía y las entidades locales, de una Estrategia Nacional frente al Reto Demográfico, de naturaleza global y transversal, que diseñe una respuesta conjunta y de futuro para paliar la problemática del progresivo envejecimiento poblacional, del despoblamiento territorial y de los efectos de la población flotante.</w:t>
      </w:r>
    </w:p>
    <w:p w:rsidR="00511909" w:rsidRPr="00511909" w:rsidRDefault="00511909" w:rsidP="00511909">
      <w:pPr>
        <w:pStyle w:val="Encabezado"/>
        <w:ind w:left="2127"/>
        <w:jc w:val="both"/>
        <w:rPr>
          <w:rFonts w:asciiTheme="minorHAnsi" w:hAnsiTheme="minorHAnsi"/>
          <w:sz w:val="28"/>
          <w:szCs w:val="28"/>
        </w:rPr>
      </w:pPr>
    </w:p>
    <w:p w:rsidR="00511909" w:rsidRPr="00511909" w:rsidRDefault="00511909" w:rsidP="00511909">
      <w:pPr>
        <w:pStyle w:val="Encabezado"/>
        <w:ind w:left="2127"/>
        <w:jc w:val="both"/>
        <w:rPr>
          <w:rFonts w:asciiTheme="minorHAnsi" w:hAnsiTheme="minorHAnsi"/>
          <w:sz w:val="28"/>
          <w:szCs w:val="28"/>
        </w:rPr>
      </w:pPr>
      <w:r w:rsidRPr="00511909">
        <w:rPr>
          <w:rFonts w:asciiTheme="minorHAnsi" w:hAnsiTheme="minorHAnsi"/>
          <w:sz w:val="28"/>
          <w:szCs w:val="28"/>
        </w:rPr>
        <w:t>La evolución demográfica en España, con aspectos tan positivos como el aumento de la esperanza de vida y el crecimiento generalizado de la población en el siglo XXI pero, también negativos, como se refleja en la pérdida de población de buena parte de nuestro territorio, la baja densidad y la caída de la natalidad, supone un desafío para la sostenibilidad de nuestro Estado del bienestar. Un desafío que puede poner en riesgo la cohesión social, la vertebración territorial y nuestro modelo de convivencia.</w:t>
      </w:r>
    </w:p>
    <w:p w:rsidR="00511909" w:rsidRPr="00511909" w:rsidRDefault="00511909" w:rsidP="00511909">
      <w:pPr>
        <w:pStyle w:val="Encabezado"/>
        <w:ind w:left="2127"/>
        <w:jc w:val="both"/>
        <w:rPr>
          <w:rFonts w:asciiTheme="minorHAnsi" w:hAnsiTheme="minorHAnsi"/>
          <w:sz w:val="28"/>
          <w:szCs w:val="28"/>
        </w:rPr>
      </w:pPr>
    </w:p>
    <w:p w:rsidR="00511909" w:rsidRPr="00511909" w:rsidRDefault="00511909" w:rsidP="00511909">
      <w:pPr>
        <w:pStyle w:val="Encabezado"/>
        <w:ind w:left="2127"/>
        <w:jc w:val="both"/>
        <w:rPr>
          <w:rFonts w:asciiTheme="minorHAnsi" w:hAnsiTheme="minorHAnsi"/>
          <w:b/>
          <w:sz w:val="28"/>
          <w:szCs w:val="28"/>
          <w:u w:val="single"/>
        </w:rPr>
      </w:pPr>
      <w:r w:rsidRPr="00511909">
        <w:rPr>
          <w:rFonts w:asciiTheme="minorHAnsi" w:hAnsiTheme="minorHAnsi"/>
          <w:b/>
          <w:sz w:val="28"/>
          <w:szCs w:val="28"/>
          <w:u w:val="single"/>
        </w:rPr>
        <w:t>Objetivo general de la Estrategia</w:t>
      </w:r>
    </w:p>
    <w:p w:rsidR="00511909" w:rsidRPr="00511909" w:rsidRDefault="00511909" w:rsidP="00511909">
      <w:pPr>
        <w:pStyle w:val="Encabezado"/>
        <w:ind w:left="2127"/>
        <w:jc w:val="both"/>
        <w:rPr>
          <w:rFonts w:asciiTheme="minorHAnsi" w:hAnsiTheme="minorHAnsi"/>
          <w:sz w:val="28"/>
          <w:szCs w:val="28"/>
        </w:rPr>
      </w:pPr>
    </w:p>
    <w:p w:rsidR="00511909" w:rsidRPr="00511909" w:rsidRDefault="00511909" w:rsidP="00511909">
      <w:pPr>
        <w:pStyle w:val="Encabezado"/>
        <w:ind w:left="2127"/>
        <w:jc w:val="both"/>
        <w:rPr>
          <w:rFonts w:asciiTheme="minorHAnsi" w:hAnsiTheme="minorHAnsi"/>
          <w:sz w:val="28"/>
          <w:szCs w:val="28"/>
        </w:rPr>
      </w:pPr>
      <w:r w:rsidRPr="00511909">
        <w:rPr>
          <w:rFonts w:asciiTheme="minorHAnsi" w:hAnsiTheme="minorHAnsi"/>
          <w:sz w:val="28"/>
          <w:szCs w:val="28"/>
        </w:rPr>
        <w:t>El objetivo general de la Estrategia Nacional frente al Reto Demográfico es sentar las bases de un proyecto de país que garantice la igualdad de oportunidades y el libre ejercicio de los derechos de ciudadanía en todo el territorio, a través de la coordinación y cooperación de todas las administraciones públicas, el aprovechamiento sostenible de los recursos endógenos y la estrecha colaboración público-privada.</w:t>
      </w:r>
    </w:p>
    <w:p w:rsidR="00511909" w:rsidRPr="00511909" w:rsidRDefault="00511909" w:rsidP="00511909">
      <w:pPr>
        <w:pStyle w:val="Encabezado"/>
        <w:ind w:left="2127"/>
        <w:jc w:val="both"/>
        <w:rPr>
          <w:rFonts w:asciiTheme="minorHAnsi" w:hAnsiTheme="minorHAnsi"/>
          <w:sz w:val="28"/>
          <w:szCs w:val="28"/>
        </w:rPr>
      </w:pPr>
    </w:p>
    <w:p w:rsidR="00511909" w:rsidRPr="00511909" w:rsidRDefault="00511909" w:rsidP="00511909">
      <w:pPr>
        <w:pStyle w:val="Encabezado"/>
        <w:ind w:left="2127"/>
        <w:jc w:val="both"/>
        <w:rPr>
          <w:rFonts w:asciiTheme="minorHAnsi" w:hAnsiTheme="minorHAnsi"/>
          <w:sz w:val="28"/>
          <w:szCs w:val="28"/>
        </w:rPr>
      </w:pPr>
      <w:r w:rsidRPr="00511909">
        <w:rPr>
          <w:rFonts w:asciiTheme="minorHAnsi" w:hAnsiTheme="minorHAnsi"/>
          <w:sz w:val="28"/>
          <w:szCs w:val="28"/>
        </w:rPr>
        <w:t>El trabajo realizado desde el Comisionado del Gobierno frente al Reto Demográfico para la elaboración de la Estrategia Nacional frente al Reto Demográfico se ha guiado por el cumplimiento del acuerdo de la Conferencia de Presidentes, tanto en el objeto del acuerdo como en su metodología de trabajo y contenido.</w:t>
      </w:r>
    </w:p>
    <w:p w:rsidR="00511909" w:rsidRPr="00511909" w:rsidRDefault="00511909" w:rsidP="00511909">
      <w:pPr>
        <w:pStyle w:val="Encabezado"/>
        <w:ind w:left="2127"/>
        <w:jc w:val="both"/>
        <w:rPr>
          <w:rFonts w:asciiTheme="minorHAnsi" w:hAnsiTheme="minorHAnsi"/>
          <w:sz w:val="28"/>
          <w:szCs w:val="28"/>
        </w:rPr>
      </w:pPr>
    </w:p>
    <w:p w:rsidR="00511909" w:rsidRPr="00511909" w:rsidRDefault="00511909" w:rsidP="00511909">
      <w:pPr>
        <w:pStyle w:val="Encabezado"/>
        <w:ind w:left="2127"/>
        <w:jc w:val="both"/>
        <w:rPr>
          <w:rFonts w:asciiTheme="minorHAnsi" w:hAnsiTheme="minorHAnsi"/>
          <w:sz w:val="28"/>
          <w:szCs w:val="28"/>
        </w:rPr>
      </w:pPr>
      <w:r w:rsidRPr="00511909">
        <w:rPr>
          <w:rFonts w:asciiTheme="minorHAnsi" w:hAnsiTheme="minorHAnsi"/>
          <w:sz w:val="28"/>
          <w:szCs w:val="28"/>
        </w:rPr>
        <w:lastRenderedPageBreak/>
        <w:t>En su metodología, la elaboración de la Estrategia se ha realizado con la colaboración de las comunidades autónomas, ciudades con estatuto de autonomía y entidades locales. Por ello, se constituyó en septiembre de 2018 un grupo institucional con comunidades autónomas y representantes de la Federación Española de Municipios y Provincias. Con una metodología de trabajo consensuada, a lo largo de los meses siguientes se han celebrado reuniones periódicas sobre los ejes de la estrategia.</w:t>
      </w:r>
    </w:p>
    <w:p w:rsidR="00511909" w:rsidRPr="00511909" w:rsidRDefault="00511909" w:rsidP="00511909">
      <w:pPr>
        <w:pStyle w:val="Encabezado"/>
        <w:ind w:left="2127"/>
        <w:jc w:val="both"/>
        <w:rPr>
          <w:rFonts w:asciiTheme="minorHAnsi" w:hAnsiTheme="minorHAnsi"/>
          <w:sz w:val="28"/>
          <w:szCs w:val="28"/>
        </w:rPr>
      </w:pPr>
    </w:p>
    <w:p w:rsidR="00511909" w:rsidRPr="00511909" w:rsidRDefault="00511909" w:rsidP="00511909">
      <w:pPr>
        <w:pStyle w:val="Encabezado"/>
        <w:ind w:left="2127"/>
        <w:jc w:val="both"/>
        <w:rPr>
          <w:rFonts w:asciiTheme="minorHAnsi" w:hAnsiTheme="minorHAnsi"/>
          <w:sz w:val="28"/>
          <w:szCs w:val="28"/>
        </w:rPr>
      </w:pPr>
      <w:r w:rsidRPr="00511909">
        <w:rPr>
          <w:rFonts w:asciiTheme="minorHAnsi" w:hAnsiTheme="minorHAnsi"/>
          <w:sz w:val="28"/>
          <w:szCs w:val="28"/>
        </w:rPr>
        <w:t>Asimismo, se constituyó el grupo de trabajo específico sobre Reto Demográfico en el marco de la Comisión Nacional de Administración Local, que abre una interlocución directa con representantes de ayuntamientos y de diputaciones provinciales.</w:t>
      </w:r>
    </w:p>
    <w:p w:rsidR="006F070F" w:rsidRPr="00511909" w:rsidRDefault="006F070F">
      <w:pPr>
        <w:rPr>
          <w:rFonts w:asciiTheme="minorHAnsi" w:hAnsiTheme="minorHAnsi"/>
        </w:rPr>
      </w:pPr>
      <w:bookmarkStart w:id="0" w:name="_GoBack"/>
      <w:bookmarkEnd w:id="0"/>
    </w:p>
    <w:sectPr w:rsidR="006F070F" w:rsidRPr="00511909" w:rsidSect="00D00B24">
      <w:headerReference w:type="default" r:id="rId7"/>
      <w:footerReference w:type="even" r:id="rId8"/>
      <w:footerReference w:type="default" r:id="rId9"/>
      <w:headerReference w:type="first" r:id="rId10"/>
      <w:footerReference w:type="first" r:id="rId11"/>
      <w:pgSz w:w="11906" w:h="16838" w:code="9"/>
      <w:pgMar w:top="238" w:right="849" w:bottom="1701" w:left="346" w:header="280" w:footer="0" w:gutter="0"/>
      <w:pgNumType w:chapStyle="1" w:chapSep="e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08A" w:rsidRDefault="0058008A" w:rsidP="00511909">
      <w:r>
        <w:separator/>
      </w:r>
    </w:p>
  </w:endnote>
  <w:endnote w:type="continuationSeparator" w:id="0">
    <w:p w:rsidR="0058008A" w:rsidRDefault="0058008A" w:rsidP="005119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1DB" w:rsidRDefault="00EF3E65">
    <w:pPr>
      <w:pStyle w:val="Piedepgina"/>
      <w:framePr w:wrap="around" w:vAnchor="text" w:hAnchor="margin" w:xAlign="center" w:y="1"/>
      <w:rPr>
        <w:rStyle w:val="Nmerodepgina"/>
      </w:rPr>
    </w:pPr>
    <w:r>
      <w:rPr>
        <w:rStyle w:val="Nmerodepgina"/>
      </w:rPr>
      <w:fldChar w:fldCharType="begin"/>
    </w:r>
    <w:r w:rsidR="0036293F">
      <w:rPr>
        <w:rStyle w:val="Nmerodepgina"/>
      </w:rPr>
      <w:instrText xml:space="preserve">PAGE  </w:instrText>
    </w:r>
    <w:r>
      <w:rPr>
        <w:rStyle w:val="Nmerodepgina"/>
      </w:rPr>
      <w:fldChar w:fldCharType="end"/>
    </w:r>
  </w:p>
  <w:p w:rsidR="009971DB" w:rsidRDefault="0058008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8152"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51"/>
      <w:gridCol w:w="6685"/>
      <w:gridCol w:w="9378"/>
      <w:gridCol w:w="9378"/>
      <w:gridCol w:w="160"/>
    </w:tblGrid>
    <w:tr w:rsidR="00B53B25" w:rsidTr="00B53B25">
      <w:trPr>
        <w:cantSplit/>
        <w:trHeight w:val="120"/>
      </w:trPr>
      <w:tc>
        <w:tcPr>
          <w:tcW w:w="2551" w:type="dxa"/>
          <w:tcBorders>
            <w:top w:val="nil"/>
            <w:left w:val="nil"/>
            <w:bottom w:val="nil"/>
            <w:right w:val="nil"/>
          </w:tcBorders>
          <w:vAlign w:val="center"/>
        </w:tcPr>
        <w:p w:rsidR="00B53B25" w:rsidRDefault="0058008A">
          <w:pPr>
            <w:spacing w:line="180" w:lineRule="atLeast"/>
            <w:rPr>
              <w:rFonts w:ascii="Arial Narrow" w:hAnsi="Arial Narrow"/>
              <w:sz w:val="10"/>
            </w:rPr>
          </w:pPr>
        </w:p>
      </w:tc>
      <w:tc>
        <w:tcPr>
          <w:tcW w:w="6685" w:type="dxa"/>
          <w:tcBorders>
            <w:top w:val="nil"/>
            <w:left w:val="nil"/>
            <w:bottom w:val="nil"/>
            <w:right w:val="nil"/>
          </w:tcBorders>
        </w:tcPr>
        <w:p w:rsidR="00B53B25" w:rsidRPr="00B53B25" w:rsidRDefault="0058008A" w:rsidP="009950E6">
          <w:pPr>
            <w:tabs>
              <w:tab w:val="left" w:pos="2590"/>
            </w:tabs>
            <w:rPr>
              <w:b/>
              <w:sz w:val="16"/>
              <w:szCs w:val="16"/>
            </w:rPr>
          </w:pPr>
        </w:p>
      </w:tc>
      <w:tc>
        <w:tcPr>
          <w:tcW w:w="9378" w:type="dxa"/>
          <w:tcBorders>
            <w:top w:val="nil"/>
            <w:left w:val="nil"/>
            <w:bottom w:val="nil"/>
            <w:right w:val="nil"/>
          </w:tcBorders>
        </w:tcPr>
        <w:p w:rsidR="00B53B25" w:rsidRPr="00ED53BC" w:rsidRDefault="0058008A" w:rsidP="001B2E59">
          <w:pPr>
            <w:spacing w:after="120"/>
            <w:ind w:left="74"/>
            <w:rPr>
              <w:sz w:val="14"/>
              <w:szCs w:val="14"/>
            </w:rPr>
          </w:pPr>
        </w:p>
      </w:tc>
      <w:tc>
        <w:tcPr>
          <w:tcW w:w="9378" w:type="dxa"/>
          <w:tcBorders>
            <w:top w:val="nil"/>
            <w:left w:val="nil"/>
            <w:bottom w:val="nil"/>
            <w:right w:val="nil"/>
          </w:tcBorders>
        </w:tcPr>
        <w:p w:rsidR="00B53B25" w:rsidRDefault="0058008A" w:rsidP="009A382B">
          <w:pPr>
            <w:rPr>
              <w:sz w:val="18"/>
            </w:rPr>
          </w:pPr>
        </w:p>
      </w:tc>
      <w:tc>
        <w:tcPr>
          <w:tcW w:w="160" w:type="dxa"/>
          <w:vMerge w:val="restart"/>
          <w:tcBorders>
            <w:top w:val="nil"/>
            <w:left w:val="single" w:sz="4" w:space="0" w:color="auto"/>
            <w:bottom w:val="nil"/>
            <w:right w:val="nil"/>
          </w:tcBorders>
        </w:tcPr>
        <w:p w:rsidR="00B53B25" w:rsidRDefault="0058008A">
          <w:pPr>
            <w:spacing w:after="120"/>
            <w:ind w:left="74"/>
          </w:pPr>
        </w:p>
      </w:tc>
    </w:tr>
    <w:tr w:rsidR="00B53B25" w:rsidTr="00B53B25">
      <w:trPr>
        <w:cantSplit/>
        <w:trHeight w:val="120"/>
      </w:trPr>
      <w:tc>
        <w:tcPr>
          <w:tcW w:w="2551" w:type="dxa"/>
          <w:tcBorders>
            <w:top w:val="nil"/>
            <w:left w:val="nil"/>
            <w:bottom w:val="nil"/>
            <w:right w:val="nil"/>
          </w:tcBorders>
        </w:tcPr>
        <w:p w:rsidR="00B53B25" w:rsidRDefault="0058008A">
          <w:pPr>
            <w:spacing w:line="240" w:lineRule="atLeast"/>
            <w:rPr>
              <w:sz w:val="20"/>
            </w:rPr>
          </w:pPr>
        </w:p>
      </w:tc>
      <w:tc>
        <w:tcPr>
          <w:tcW w:w="6685" w:type="dxa"/>
          <w:tcBorders>
            <w:top w:val="nil"/>
            <w:left w:val="nil"/>
            <w:bottom w:val="nil"/>
            <w:right w:val="nil"/>
          </w:tcBorders>
        </w:tcPr>
        <w:p w:rsidR="00B53B25" w:rsidRPr="00563534" w:rsidRDefault="0058008A" w:rsidP="001B2E59">
          <w:pPr>
            <w:shd w:val="clear" w:color="auto" w:fill="FFFFFF"/>
            <w:spacing w:beforeAutospacing="1" w:afterAutospacing="1"/>
            <w:rPr>
              <w:rFonts w:ascii="Arial Narrow" w:hAnsi="Arial Narrow"/>
              <w:b/>
              <w:color w:val="0000FF"/>
              <w:szCs w:val="22"/>
              <w:u w:val="single"/>
            </w:rPr>
          </w:pPr>
        </w:p>
      </w:tc>
      <w:tc>
        <w:tcPr>
          <w:tcW w:w="9378" w:type="dxa"/>
          <w:tcBorders>
            <w:top w:val="nil"/>
            <w:left w:val="nil"/>
            <w:bottom w:val="nil"/>
            <w:right w:val="nil"/>
          </w:tcBorders>
        </w:tcPr>
        <w:p w:rsidR="00B53B25" w:rsidRPr="00563534" w:rsidRDefault="0058008A" w:rsidP="001B2E59"/>
      </w:tc>
      <w:tc>
        <w:tcPr>
          <w:tcW w:w="9378" w:type="dxa"/>
          <w:tcBorders>
            <w:top w:val="nil"/>
            <w:left w:val="nil"/>
            <w:bottom w:val="nil"/>
            <w:right w:val="nil"/>
          </w:tcBorders>
        </w:tcPr>
        <w:p w:rsidR="00B53B25" w:rsidRDefault="0058008A" w:rsidP="009A382B">
          <w:pPr>
            <w:shd w:val="clear" w:color="auto" w:fill="FFFFFF"/>
            <w:spacing w:beforeAutospacing="1" w:afterAutospacing="1"/>
            <w:rPr>
              <w:rFonts w:ascii="Arial Narrow" w:hAnsi="Arial Narrow"/>
              <w:b/>
              <w:bCs/>
            </w:rPr>
          </w:pPr>
        </w:p>
      </w:tc>
      <w:tc>
        <w:tcPr>
          <w:tcW w:w="160" w:type="dxa"/>
          <w:vMerge/>
          <w:tcBorders>
            <w:left w:val="single" w:sz="4" w:space="0" w:color="auto"/>
            <w:bottom w:val="nil"/>
            <w:right w:val="nil"/>
          </w:tcBorders>
        </w:tcPr>
        <w:p w:rsidR="00B53B25" w:rsidRDefault="0058008A"/>
      </w:tc>
    </w:tr>
  </w:tbl>
  <w:p w:rsidR="009971DB" w:rsidRDefault="0058008A">
    <w:pPr>
      <w:pStyle w:val="Piedepgina"/>
      <w:rPr>
        <w:lang w:val="es-E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7"/>
      <w:gridCol w:w="7371"/>
      <w:gridCol w:w="2103"/>
    </w:tblGrid>
    <w:tr w:rsidR="009971DB" w:rsidTr="00ED53BC">
      <w:trPr>
        <w:cantSplit/>
        <w:trHeight w:val="120"/>
      </w:trPr>
      <w:tc>
        <w:tcPr>
          <w:tcW w:w="2197" w:type="dxa"/>
          <w:tcBorders>
            <w:top w:val="nil"/>
            <w:left w:val="nil"/>
            <w:bottom w:val="nil"/>
            <w:right w:val="nil"/>
          </w:tcBorders>
          <w:vAlign w:val="center"/>
        </w:tcPr>
        <w:p w:rsidR="009971DB" w:rsidRDefault="0058008A" w:rsidP="009A382B">
          <w:pPr>
            <w:pStyle w:val="Encabezado"/>
            <w:tabs>
              <w:tab w:val="clear" w:pos="4252"/>
              <w:tab w:val="clear" w:pos="8504"/>
            </w:tabs>
            <w:rPr>
              <w:rFonts w:ascii="Arial Narrow" w:hAnsi="Arial Narrow"/>
              <w:sz w:val="10"/>
            </w:rPr>
          </w:pPr>
        </w:p>
      </w:tc>
      <w:tc>
        <w:tcPr>
          <w:tcW w:w="7371" w:type="dxa"/>
          <w:tcBorders>
            <w:top w:val="nil"/>
            <w:left w:val="nil"/>
            <w:bottom w:val="nil"/>
            <w:right w:val="nil"/>
          </w:tcBorders>
        </w:tcPr>
        <w:p w:rsidR="009971DB" w:rsidRPr="00ED53BC" w:rsidRDefault="0036293F" w:rsidP="009A382B">
          <w:pPr>
            <w:ind w:right="1205"/>
            <w:jc w:val="center"/>
            <w:rPr>
              <w:sz w:val="16"/>
              <w:szCs w:val="16"/>
            </w:rPr>
          </w:pPr>
          <w:r>
            <w:rPr>
              <w:rFonts w:ascii="Arial Narrow" w:hAnsi="Arial Narrow"/>
              <w:sz w:val="16"/>
              <w:szCs w:val="16"/>
            </w:rPr>
            <w:t xml:space="preserve">            </w:t>
          </w:r>
          <w:r w:rsidRPr="00ED53BC">
            <w:rPr>
              <w:rFonts w:ascii="Arial Narrow" w:hAnsi="Arial Narrow"/>
              <w:sz w:val="16"/>
              <w:szCs w:val="16"/>
            </w:rPr>
            <w:t>Esta información puede ser usada en parte o en su integridad sin necesidad de citar fuentes</w:t>
          </w:r>
        </w:p>
      </w:tc>
      <w:tc>
        <w:tcPr>
          <w:tcW w:w="2103" w:type="dxa"/>
          <w:vMerge w:val="restart"/>
          <w:tcBorders>
            <w:top w:val="nil"/>
            <w:left w:val="single" w:sz="4" w:space="0" w:color="auto"/>
            <w:bottom w:val="nil"/>
            <w:right w:val="nil"/>
          </w:tcBorders>
        </w:tcPr>
        <w:p w:rsidR="00ED53BC" w:rsidRPr="00ED53BC" w:rsidRDefault="0036293F" w:rsidP="00ED53BC">
          <w:pPr>
            <w:spacing w:after="120"/>
            <w:ind w:left="74"/>
            <w:rPr>
              <w:sz w:val="12"/>
              <w:szCs w:val="12"/>
            </w:rPr>
          </w:pPr>
          <w:r w:rsidRPr="00ED53BC">
            <w:rPr>
              <w:sz w:val="12"/>
              <w:szCs w:val="12"/>
            </w:rPr>
            <w:t>Pº Castellana, 3. 28071 Madrid</w:t>
          </w:r>
        </w:p>
        <w:p w:rsidR="00ED53BC" w:rsidRPr="00ED53BC" w:rsidRDefault="0036293F" w:rsidP="00ED53BC">
          <w:pPr>
            <w:spacing w:after="120"/>
            <w:ind w:left="74"/>
            <w:rPr>
              <w:sz w:val="14"/>
              <w:szCs w:val="14"/>
            </w:rPr>
          </w:pPr>
          <w:r w:rsidRPr="00ED53BC">
            <w:rPr>
              <w:sz w:val="12"/>
              <w:szCs w:val="12"/>
            </w:rPr>
            <w:t>Tfno</w:t>
          </w:r>
          <w:r>
            <w:rPr>
              <w:sz w:val="12"/>
              <w:szCs w:val="12"/>
            </w:rPr>
            <w:t>.</w:t>
          </w:r>
          <w:r w:rsidRPr="00ED53BC">
            <w:rPr>
              <w:sz w:val="12"/>
              <w:szCs w:val="12"/>
            </w:rPr>
            <w:t xml:space="preserve"> 912731105</w:t>
          </w:r>
        </w:p>
      </w:tc>
    </w:tr>
    <w:tr w:rsidR="009971DB" w:rsidRPr="00563534" w:rsidTr="00ED53BC">
      <w:trPr>
        <w:cantSplit/>
        <w:trHeight w:val="660"/>
      </w:trPr>
      <w:tc>
        <w:tcPr>
          <w:tcW w:w="2197" w:type="dxa"/>
          <w:tcBorders>
            <w:top w:val="nil"/>
            <w:left w:val="nil"/>
            <w:bottom w:val="nil"/>
            <w:right w:val="nil"/>
          </w:tcBorders>
        </w:tcPr>
        <w:p w:rsidR="009971DB" w:rsidRDefault="0036293F">
          <w:pPr>
            <w:spacing w:line="240" w:lineRule="atLeast"/>
            <w:rPr>
              <w:sz w:val="20"/>
            </w:rPr>
          </w:pPr>
          <w:r>
            <w:rPr>
              <w:sz w:val="20"/>
            </w:rPr>
            <w:t xml:space="preserve">Página </w:t>
          </w:r>
          <w:r w:rsidR="00EF3E65">
            <w:rPr>
              <w:sz w:val="20"/>
            </w:rPr>
            <w:fldChar w:fldCharType="begin"/>
          </w:r>
          <w:r>
            <w:rPr>
              <w:sz w:val="20"/>
            </w:rPr>
            <w:instrText xml:space="preserve"> PAGE </w:instrText>
          </w:r>
          <w:r w:rsidR="00EF3E65">
            <w:rPr>
              <w:sz w:val="20"/>
            </w:rPr>
            <w:fldChar w:fldCharType="separate"/>
          </w:r>
          <w:r w:rsidR="002136CB">
            <w:rPr>
              <w:noProof/>
              <w:sz w:val="20"/>
            </w:rPr>
            <w:t>1</w:t>
          </w:r>
          <w:r w:rsidR="00EF3E65">
            <w:rPr>
              <w:sz w:val="20"/>
            </w:rPr>
            <w:fldChar w:fldCharType="end"/>
          </w:r>
          <w:r>
            <w:rPr>
              <w:sz w:val="20"/>
            </w:rPr>
            <w:t xml:space="preserve"> de </w:t>
          </w:r>
          <w:r w:rsidR="00EF3E65">
            <w:rPr>
              <w:sz w:val="20"/>
            </w:rPr>
            <w:fldChar w:fldCharType="begin"/>
          </w:r>
          <w:r>
            <w:rPr>
              <w:sz w:val="20"/>
            </w:rPr>
            <w:instrText xml:space="preserve"> NUMPAGES </w:instrText>
          </w:r>
          <w:r w:rsidR="00EF3E65">
            <w:rPr>
              <w:sz w:val="20"/>
            </w:rPr>
            <w:fldChar w:fldCharType="separate"/>
          </w:r>
          <w:r w:rsidR="002136CB">
            <w:rPr>
              <w:noProof/>
              <w:sz w:val="20"/>
            </w:rPr>
            <w:t>3</w:t>
          </w:r>
          <w:r w:rsidR="00EF3E65">
            <w:rPr>
              <w:sz w:val="20"/>
            </w:rPr>
            <w:fldChar w:fldCharType="end"/>
          </w:r>
        </w:p>
      </w:tc>
      <w:tc>
        <w:tcPr>
          <w:tcW w:w="7371" w:type="dxa"/>
          <w:tcBorders>
            <w:top w:val="nil"/>
            <w:left w:val="nil"/>
            <w:bottom w:val="nil"/>
            <w:right w:val="nil"/>
          </w:tcBorders>
        </w:tcPr>
        <w:p w:rsidR="003F17DA" w:rsidRPr="003F17DA" w:rsidRDefault="00EF3E65" w:rsidP="009950E6">
          <w:pPr>
            <w:shd w:val="clear" w:color="auto" w:fill="FFFFFF"/>
            <w:spacing w:beforeAutospacing="1" w:afterAutospacing="1"/>
            <w:jc w:val="center"/>
            <w:rPr>
              <w:rFonts w:ascii="Arial Narrow" w:hAnsi="Arial Narrow"/>
              <w:b/>
              <w:color w:val="0000FF"/>
              <w:sz w:val="20"/>
            </w:rPr>
          </w:pPr>
          <w:hyperlink w:history="1">
            <w:r w:rsidR="0036293F" w:rsidRPr="003F17DA">
              <w:rPr>
                <w:rStyle w:val="Hipervnculo"/>
                <w:rFonts w:ascii="Arial Narrow" w:hAnsi="Arial Narrow"/>
                <w:b/>
                <w:sz w:val="20"/>
              </w:rPr>
              <w:t xml:space="preserve">www.mptfp.gob.es </w:t>
            </w:r>
          </w:hyperlink>
          <w:r w:rsidR="0036293F" w:rsidRPr="003F17DA">
            <w:rPr>
              <w:rFonts w:ascii="Arial Narrow" w:hAnsi="Arial Narrow"/>
              <w:b/>
              <w:noProof/>
              <w:color w:val="0000FF"/>
              <w:sz w:val="20"/>
            </w:rPr>
            <w:drawing>
              <wp:inline distT="0" distB="0" distL="0" distR="0">
                <wp:extent cx="177971" cy="184108"/>
                <wp:effectExtent l="0" t="0" r="0" b="0"/>
                <wp:docPr id="31" name="Imagen 31" descr="C:\Users\rafael.rivera\Desktop\RRSS\untitled.pngtw.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fael.rivera\Desktop\RRSS\untitled.pngtw.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934" cy="184070"/>
                        </a:xfrm>
                        <a:prstGeom prst="rect">
                          <a:avLst/>
                        </a:prstGeom>
                        <a:noFill/>
                        <a:ln>
                          <a:noFill/>
                        </a:ln>
                      </pic:spPr>
                    </pic:pic>
                  </a:graphicData>
                </a:graphic>
              </wp:inline>
            </w:drawing>
          </w:r>
          <w:r w:rsidR="0036293F" w:rsidRPr="003F17DA">
            <w:rPr>
              <w:rFonts w:ascii="Arial Narrow" w:hAnsi="Arial Narrow"/>
              <w:b/>
              <w:noProof/>
              <w:color w:val="0000FF"/>
              <w:sz w:val="20"/>
            </w:rPr>
            <w:drawing>
              <wp:inline distT="0" distB="0" distL="0" distR="0">
                <wp:extent cx="233203" cy="184107"/>
                <wp:effectExtent l="0" t="0" r="0" b="0"/>
                <wp:docPr id="32" name="Imagen 32" descr="C:\Users\rafael.rivera\Desktop\RRSS\fac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afael.rivera\Desktop\RRSS\face.pn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216" cy="184117"/>
                        </a:xfrm>
                        <a:prstGeom prst="rect">
                          <a:avLst/>
                        </a:prstGeom>
                        <a:noFill/>
                        <a:ln>
                          <a:noFill/>
                        </a:ln>
                      </pic:spPr>
                    </pic:pic>
                  </a:graphicData>
                </a:graphic>
              </wp:inline>
            </w:drawing>
          </w:r>
          <w:r w:rsidR="0036293F" w:rsidRPr="003F17DA">
            <w:rPr>
              <w:rFonts w:ascii="Arial Narrow" w:hAnsi="Arial Narrow"/>
              <w:b/>
              <w:noProof/>
              <w:color w:val="0000FF"/>
              <w:sz w:val="20"/>
            </w:rPr>
            <w:drawing>
              <wp:inline distT="0" distB="0" distL="0" distR="0">
                <wp:extent cx="202518" cy="183896"/>
                <wp:effectExtent l="0" t="0" r="0" b="0"/>
                <wp:docPr id="33" name="Imagen 33" descr="C:\Users\rafael.rivera\Desktop\RRSS\instagram4.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afael.rivera\Desktop\RRSS\instagram4.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531" cy="183908"/>
                        </a:xfrm>
                        <a:prstGeom prst="rect">
                          <a:avLst/>
                        </a:prstGeom>
                        <a:noFill/>
                        <a:ln>
                          <a:noFill/>
                        </a:ln>
                      </pic:spPr>
                    </pic:pic>
                  </a:graphicData>
                </a:graphic>
              </wp:inline>
            </w:drawing>
          </w:r>
          <w:r w:rsidR="0036293F" w:rsidRPr="003F17DA">
            <w:rPr>
              <w:rFonts w:ascii="Arial Narrow" w:hAnsi="Arial Narrow"/>
              <w:b/>
              <w:noProof/>
              <w:color w:val="0000FF"/>
              <w:sz w:val="20"/>
            </w:rPr>
            <w:drawing>
              <wp:inline distT="0" distB="0" distL="0" distR="0">
                <wp:extent cx="208655" cy="184143"/>
                <wp:effectExtent l="0" t="0" r="0" b="0"/>
                <wp:docPr id="34" name="Imagen 34" descr="C:\Users\rafael.rivera\Desktop\RRSS\you2.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afael.rivera\Desktop\RRSS\you2.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8644" cy="184133"/>
                        </a:xfrm>
                        <a:prstGeom prst="rect">
                          <a:avLst/>
                        </a:prstGeom>
                        <a:noFill/>
                        <a:ln>
                          <a:noFill/>
                        </a:ln>
                      </pic:spPr>
                    </pic:pic>
                  </a:graphicData>
                </a:graphic>
              </wp:inline>
            </w:drawing>
          </w:r>
        </w:p>
      </w:tc>
      <w:tc>
        <w:tcPr>
          <w:tcW w:w="2103" w:type="dxa"/>
          <w:vMerge/>
          <w:tcBorders>
            <w:left w:val="single" w:sz="4" w:space="0" w:color="auto"/>
            <w:bottom w:val="nil"/>
            <w:right w:val="nil"/>
          </w:tcBorders>
        </w:tcPr>
        <w:p w:rsidR="009971DB" w:rsidRPr="00563534" w:rsidRDefault="0058008A"/>
      </w:tc>
    </w:tr>
  </w:tbl>
  <w:p w:rsidR="009971DB" w:rsidRPr="00563534" w:rsidRDefault="0036293F" w:rsidP="00ED53BC">
    <w:pPr>
      <w:pStyle w:val="Piedepgina"/>
      <w:rPr>
        <w:lang w:val="es-ES"/>
      </w:rPr>
    </w:pPr>
    <w:r>
      <w:rPr>
        <w:lang w:val="es-E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08A" w:rsidRDefault="0058008A" w:rsidP="00511909">
      <w:r>
        <w:separator/>
      </w:r>
    </w:p>
  </w:footnote>
  <w:footnote w:type="continuationSeparator" w:id="0">
    <w:p w:rsidR="0058008A" w:rsidRDefault="0058008A" w:rsidP="005119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403" w:type="dxa"/>
      <w:tblInd w:w="354" w:type="dxa"/>
      <w:tblLayout w:type="fixed"/>
      <w:tblCellMar>
        <w:left w:w="70" w:type="dxa"/>
        <w:right w:w="70" w:type="dxa"/>
      </w:tblCellMar>
      <w:tblLook w:val="0000"/>
    </w:tblPr>
    <w:tblGrid>
      <w:gridCol w:w="1346"/>
      <w:gridCol w:w="7584"/>
      <w:gridCol w:w="3473"/>
    </w:tblGrid>
    <w:tr w:rsidR="009971DB">
      <w:trPr>
        <w:gridAfter w:val="1"/>
        <w:wAfter w:w="3473" w:type="dxa"/>
        <w:cantSplit/>
        <w:trHeight w:val="543"/>
      </w:trPr>
      <w:tc>
        <w:tcPr>
          <w:tcW w:w="1346" w:type="dxa"/>
          <w:vMerge w:val="restart"/>
        </w:tcPr>
        <w:p w:rsidR="009971DB" w:rsidRDefault="0058008A">
          <w:pPr>
            <w:pStyle w:val="Encabezado"/>
            <w:tabs>
              <w:tab w:val="clear" w:pos="4252"/>
              <w:tab w:val="clear" w:pos="8504"/>
            </w:tabs>
          </w:pPr>
        </w:p>
      </w:tc>
      <w:tc>
        <w:tcPr>
          <w:tcW w:w="7584" w:type="dxa"/>
          <w:vMerge w:val="restart"/>
        </w:tcPr>
        <w:p w:rsidR="009971DB" w:rsidRDefault="0058008A" w:rsidP="006C0F7F">
          <w:pPr>
            <w:pStyle w:val="Encabezado"/>
            <w:tabs>
              <w:tab w:val="clear" w:pos="4252"/>
              <w:tab w:val="left" w:pos="2127"/>
              <w:tab w:val="left" w:pos="6521"/>
            </w:tabs>
          </w:pPr>
        </w:p>
      </w:tc>
    </w:tr>
    <w:tr w:rsidR="009971DB">
      <w:trPr>
        <w:cantSplit/>
        <w:trHeight w:val="40"/>
      </w:trPr>
      <w:tc>
        <w:tcPr>
          <w:tcW w:w="1346" w:type="dxa"/>
          <w:vMerge/>
        </w:tcPr>
        <w:p w:rsidR="009971DB" w:rsidRDefault="0058008A">
          <w:pPr>
            <w:pStyle w:val="Encabezado"/>
            <w:tabs>
              <w:tab w:val="clear" w:pos="4252"/>
              <w:tab w:val="left" w:pos="2127"/>
              <w:tab w:val="left" w:pos="6521"/>
            </w:tabs>
          </w:pPr>
        </w:p>
      </w:tc>
      <w:tc>
        <w:tcPr>
          <w:tcW w:w="7584" w:type="dxa"/>
          <w:vMerge/>
        </w:tcPr>
        <w:p w:rsidR="009971DB" w:rsidRDefault="0058008A">
          <w:pPr>
            <w:pStyle w:val="Encabezado"/>
            <w:tabs>
              <w:tab w:val="clear" w:pos="4252"/>
              <w:tab w:val="left" w:pos="2127"/>
              <w:tab w:val="left" w:pos="6521"/>
            </w:tabs>
          </w:pPr>
        </w:p>
      </w:tc>
      <w:tc>
        <w:tcPr>
          <w:tcW w:w="3473" w:type="dxa"/>
          <w:vAlign w:val="center"/>
        </w:tcPr>
        <w:p w:rsidR="009971DB" w:rsidRDefault="0058008A">
          <w:pPr>
            <w:pStyle w:val="Encabezado"/>
            <w:tabs>
              <w:tab w:val="clear" w:pos="4252"/>
              <w:tab w:val="left" w:pos="6521"/>
            </w:tabs>
            <w:spacing w:after="240"/>
            <w:ind w:right="1418"/>
            <w:rPr>
              <w:kern w:val="16"/>
            </w:rPr>
          </w:pPr>
        </w:p>
      </w:tc>
    </w:tr>
  </w:tbl>
  <w:p w:rsidR="009971DB" w:rsidRDefault="0058008A" w:rsidP="000253A7">
    <w:pPr>
      <w:pStyle w:val="Encabezado"/>
      <w:tabs>
        <w:tab w:val="clear" w:pos="4252"/>
        <w:tab w:val="left" w:pos="2127"/>
        <w:tab w:val="left" w:pos="6521"/>
      </w:tabs>
      <w:ind w:firstLine="22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354" w:type="dxa"/>
      <w:tblLayout w:type="fixed"/>
      <w:tblCellMar>
        <w:left w:w="70" w:type="dxa"/>
        <w:right w:w="70" w:type="dxa"/>
      </w:tblCellMar>
      <w:tblLook w:val="0000"/>
    </w:tblPr>
    <w:tblGrid>
      <w:gridCol w:w="1346"/>
      <w:gridCol w:w="3190"/>
      <w:gridCol w:w="6379"/>
    </w:tblGrid>
    <w:tr w:rsidR="009971DB" w:rsidTr="000E1894">
      <w:trPr>
        <w:cantSplit/>
        <w:trHeight w:val="543"/>
      </w:trPr>
      <w:tc>
        <w:tcPr>
          <w:tcW w:w="1346" w:type="dxa"/>
          <w:vMerge w:val="restart"/>
        </w:tcPr>
        <w:p w:rsidR="009971DB" w:rsidRDefault="0058008A">
          <w:pPr>
            <w:pStyle w:val="Encabezado"/>
            <w:tabs>
              <w:tab w:val="clear" w:pos="4252"/>
              <w:tab w:val="clear" w:pos="8504"/>
            </w:tabs>
          </w:pPr>
        </w:p>
      </w:tc>
      <w:tc>
        <w:tcPr>
          <w:tcW w:w="3190" w:type="dxa"/>
          <w:vMerge w:val="restart"/>
        </w:tcPr>
        <w:p w:rsidR="009971DB" w:rsidRDefault="0058008A" w:rsidP="00ED53BC">
          <w:pPr>
            <w:pStyle w:val="Encabezado"/>
            <w:tabs>
              <w:tab w:val="clear" w:pos="4252"/>
              <w:tab w:val="left" w:pos="2127"/>
              <w:tab w:val="left" w:pos="6521"/>
            </w:tabs>
          </w:pPr>
        </w:p>
      </w:tc>
      <w:tc>
        <w:tcPr>
          <w:tcW w:w="6379" w:type="dxa"/>
          <w:vAlign w:val="center"/>
        </w:tcPr>
        <w:p w:rsidR="009971DB" w:rsidRPr="000E1894" w:rsidRDefault="0058008A" w:rsidP="000E1894">
          <w:pPr>
            <w:pStyle w:val="Encabezado"/>
            <w:tabs>
              <w:tab w:val="clear" w:pos="4252"/>
              <w:tab w:val="left" w:pos="6521"/>
            </w:tabs>
            <w:spacing w:after="240"/>
            <w:ind w:right="1418"/>
            <w:rPr>
              <w:rFonts w:ascii="Gill Sans MT" w:hAnsi="Gill Sans MT"/>
              <w:kern w:val="16"/>
              <w:sz w:val="14"/>
            </w:rPr>
          </w:pPr>
        </w:p>
      </w:tc>
    </w:tr>
    <w:tr w:rsidR="009971DB" w:rsidTr="000E1894">
      <w:trPr>
        <w:cantSplit/>
        <w:trHeight w:val="40"/>
      </w:trPr>
      <w:tc>
        <w:tcPr>
          <w:tcW w:w="1346" w:type="dxa"/>
          <w:vMerge/>
        </w:tcPr>
        <w:p w:rsidR="009971DB" w:rsidRDefault="0058008A">
          <w:pPr>
            <w:pStyle w:val="Encabezado"/>
            <w:tabs>
              <w:tab w:val="clear" w:pos="4252"/>
              <w:tab w:val="left" w:pos="2127"/>
              <w:tab w:val="left" w:pos="6521"/>
            </w:tabs>
          </w:pPr>
        </w:p>
      </w:tc>
      <w:tc>
        <w:tcPr>
          <w:tcW w:w="3190" w:type="dxa"/>
          <w:vMerge/>
        </w:tcPr>
        <w:p w:rsidR="009971DB" w:rsidRDefault="0058008A">
          <w:pPr>
            <w:pStyle w:val="Encabezado"/>
            <w:tabs>
              <w:tab w:val="clear" w:pos="4252"/>
              <w:tab w:val="left" w:pos="2127"/>
              <w:tab w:val="left" w:pos="6521"/>
            </w:tabs>
          </w:pPr>
        </w:p>
      </w:tc>
      <w:tc>
        <w:tcPr>
          <w:tcW w:w="6379" w:type="dxa"/>
          <w:vAlign w:val="center"/>
        </w:tcPr>
        <w:p w:rsidR="009971DB" w:rsidRDefault="0058008A">
          <w:pPr>
            <w:pStyle w:val="Encabezado"/>
            <w:tabs>
              <w:tab w:val="clear" w:pos="4252"/>
              <w:tab w:val="left" w:pos="6521"/>
            </w:tabs>
            <w:spacing w:after="240"/>
            <w:ind w:right="1418"/>
            <w:rPr>
              <w:kern w:val="16"/>
            </w:rPr>
          </w:pPr>
        </w:p>
      </w:tc>
    </w:tr>
  </w:tbl>
  <w:p w:rsidR="009971DB" w:rsidRDefault="0058008A" w:rsidP="000E1894">
    <w:pPr>
      <w:pStyle w:val="Encabezado"/>
      <w:tabs>
        <w:tab w:val="clear" w:pos="4252"/>
        <w:tab w:val="clear" w:pos="8504"/>
        <w:tab w:val="left" w:pos="4968"/>
      </w:tabs>
      <w:ind w:firstLine="227"/>
      <w:rPr>
        <w:rFonts w:ascii="Gill Sans MT" w:hAnsi="Gill Sans MT"/>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C5807"/>
    <w:multiLevelType w:val="hybridMultilevel"/>
    <w:tmpl w:val="A1AE2DF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BC120F1"/>
    <w:multiLevelType w:val="hybridMultilevel"/>
    <w:tmpl w:val="F11C70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A8A3937"/>
    <w:multiLevelType w:val="hybridMultilevel"/>
    <w:tmpl w:val="522E32CE"/>
    <w:lvl w:ilvl="0" w:tplc="0C0A0005">
      <w:start w:val="1"/>
      <w:numFmt w:val="bullet"/>
      <w:lvlText w:val=""/>
      <w:lvlJc w:val="left"/>
      <w:pPr>
        <w:ind w:left="2847" w:hanging="360"/>
      </w:pPr>
      <w:rPr>
        <w:rFonts w:ascii="Wingdings" w:hAnsi="Wingdings"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3">
    <w:nsid w:val="372D7378"/>
    <w:multiLevelType w:val="hybridMultilevel"/>
    <w:tmpl w:val="47608F0E"/>
    <w:lvl w:ilvl="0" w:tplc="62D85BC6">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55393439"/>
    <w:multiLevelType w:val="hybridMultilevel"/>
    <w:tmpl w:val="407ADA9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17552E2"/>
    <w:multiLevelType w:val="hybridMultilevel"/>
    <w:tmpl w:val="03DA313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08"/>
  <w:hyphenationZone w:val="425"/>
  <w:characterSpacingControl w:val="doNotCompress"/>
  <w:footnotePr>
    <w:footnote w:id="-1"/>
    <w:footnote w:id="0"/>
  </w:footnotePr>
  <w:endnotePr>
    <w:endnote w:id="-1"/>
    <w:endnote w:id="0"/>
  </w:endnotePr>
  <w:compat/>
  <w:rsids>
    <w:rsidRoot w:val="00511909"/>
    <w:rsid w:val="002136CB"/>
    <w:rsid w:val="0036293F"/>
    <w:rsid w:val="00511909"/>
    <w:rsid w:val="0058008A"/>
    <w:rsid w:val="006F070F"/>
    <w:rsid w:val="00EF3E6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909"/>
    <w:pPr>
      <w:spacing w:after="0" w:line="240" w:lineRule="auto"/>
    </w:pPr>
    <w:rPr>
      <w:rFonts w:ascii="Arial" w:eastAsia="Times New Roman" w:hAnsi="Arial" w:cs="Arial"/>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11909"/>
    <w:pPr>
      <w:tabs>
        <w:tab w:val="center" w:pos="4252"/>
        <w:tab w:val="right" w:pos="8504"/>
      </w:tabs>
    </w:pPr>
    <w:rPr>
      <w:rFonts w:ascii="Courier" w:hAnsi="Courier"/>
      <w:sz w:val="20"/>
      <w:lang w:val="es-ES_tradnl"/>
    </w:rPr>
  </w:style>
  <w:style w:type="character" w:customStyle="1" w:styleId="PiedepginaCar">
    <w:name w:val="Pie de página Car"/>
    <w:basedOn w:val="Fuentedeprrafopredeter"/>
    <w:link w:val="Piedepgina"/>
    <w:rsid w:val="00511909"/>
    <w:rPr>
      <w:rFonts w:ascii="Courier" w:eastAsia="Times New Roman" w:hAnsi="Courier" w:cs="Arial"/>
      <w:sz w:val="20"/>
      <w:szCs w:val="20"/>
      <w:lang w:val="es-ES_tradnl" w:eastAsia="es-ES"/>
    </w:rPr>
  </w:style>
  <w:style w:type="paragraph" w:styleId="Encabezado">
    <w:name w:val="header"/>
    <w:basedOn w:val="Normal"/>
    <w:link w:val="EncabezadoCar"/>
    <w:rsid w:val="00511909"/>
    <w:pPr>
      <w:tabs>
        <w:tab w:val="center" w:pos="4252"/>
        <w:tab w:val="right" w:pos="8504"/>
      </w:tabs>
    </w:pPr>
  </w:style>
  <w:style w:type="character" w:customStyle="1" w:styleId="EncabezadoCar">
    <w:name w:val="Encabezado Car"/>
    <w:basedOn w:val="Fuentedeprrafopredeter"/>
    <w:link w:val="Encabezado"/>
    <w:rsid w:val="00511909"/>
    <w:rPr>
      <w:rFonts w:ascii="Arial" w:eastAsia="Times New Roman" w:hAnsi="Arial" w:cs="Arial"/>
      <w:sz w:val="24"/>
      <w:szCs w:val="20"/>
      <w:lang w:eastAsia="es-ES"/>
    </w:rPr>
  </w:style>
  <w:style w:type="character" w:styleId="Nmerodepgina">
    <w:name w:val="page number"/>
    <w:basedOn w:val="Fuentedeprrafopredeter"/>
    <w:rsid w:val="00511909"/>
  </w:style>
  <w:style w:type="character" w:styleId="Hipervnculo">
    <w:name w:val="Hyperlink"/>
    <w:basedOn w:val="Fuentedeprrafopredeter"/>
    <w:rsid w:val="00511909"/>
    <w:rPr>
      <w:color w:val="0000FF"/>
      <w:u w:val="single"/>
    </w:rPr>
  </w:style>
  <w:style w:type="paragraph" w:styleId="Prrafodelista">
    <w:name w:val="List Paragraph"/>
    <w:basedOn w:val="Normal"/>
    <w:link w:val="PrrafodelistaCar"/>
    <w:uiPriority w:val="34"/>
    <w:qFormat/>
    <w:rsid w:val="00511909"/>
    <w:pPr>
      <w:ind w:left="720"/>
      <w:contextualSpacing/>
    </w:pPr>
  </w:style>
  <w:style w:type="character" w:customStyle="1" w:styleId="PrrafodelistaCar">
    <w:name w:val="Párrafo de lista Car"/>
    <w:link w:val="Prrafodelista"/>
    <w:uiPriority w:val="34"/>
    <w:locked/>
    <w:rsid w:val="00511909"/>
    <w:rPr>
      <w:rFonts w:ascii="Arial" w:eastAsia="Times New Roman" w:hAnsi="Arial" w:cs="Arial"/>
      <w:sz w:val="24"/>
      <w:szCs w:val="20"/>
      <w:lang w:eastAsia="es-ES"/>
    </w:rPr>
  </w:style>
  <w:style w:type="paragraph" w:styleId="Textodeglobo">
    <w:name w:val="Balloon Text"/>
    <w:basedOn w:val="Normal"/>
    <w:link w:val="TextodegloboCar"/>
    <w:uiPriority w:val="99"/>
    <w:semiHidden/>
    <w:unhideWhenUsed/>
    <w:rsid w:val="00511909"/>
    <w:rPr>
      <w:rFonts w:ascii="Tahoma" w:hAnsi="Tahoma" w:cs="Tahoma"/>
      <w:sz w:val="16"/>
      <w:szCs w:val="16"/>
    </w:rPr>
  </w:style>
  <w:style w:type="character" w:customStyle="1" w:styleId="TextodegloboCar">
    <w:name w:val="Texto de globo Car"/>
    <w:basedOn w:val="Fuentedeprrafopredeter"/>
    <w:link w:val="Textodeglobo"/>
    <w:uiPriority w:val="99"/>
    <w:semiHidden/>
    <w:rsid w:val="00511909"/>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909"/>
    <w:pPr>
      <w:spacing w:after="0" w:line="240" w:lineRule="auto"/>
    </w:pPr>
    <w:rPr>
      <w:rFonts w:ascii="Arial" w:eastAsia="Times New Roman" w:hAnsi="Arial" w:cs="Arial"/>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11909"/>
    <w:pPr>
      <w:tabs>
        <w:tab w:val="center" w:pos="4252"/>
        <w:tab w:val="right" w:pos="8504"/>
      </w:tabs>
    </w:pPr>
    <w:rPr>
      <w:rFonts w:ascii="Courier" w:hAnsi="Courier"/>
      <w:sz w:val="20"/>
      <w:lang w:val="es-ES_tradnl"/>
    </w:rPr>
  </w:style>
  <w:style w:type="character" w:customStyle="1" w:styleId="PiedepginaCar">
    <w:name w:val="Pie de página Car"/>
    <w:basedOn w:val="Fuentedeprrafopredeter"/>
    <w:link w:val="Piedepgina"/>
    <w:rsid w:val="00511909"/>
    <w:rPr>
      <w:rFonts w:ascii="Courier" w:eastAsia="Times New Roman" w:hAnsi="Courier" w:cs="Arial"/>
      <w:sz w:val="20"/>
      <w:szCs w:val="20"/>
      <w:lang w:val="es-ES_tradnl" w:eastAsia="es-ES"/>
    </w:rPr>
  </w:style>
  <w:style w:type="paragraph" w:styleId="Encabezado">
    <w:name w:val="header"/>
    <w:basedOn w:val="Normal"/>
    <w:link w:val="EncabezadoCar"/>
    <w:rsid w:val="00511909"/>
    <w:pPr>
      <w:tabs>
        <w:tab w:val="center" w:pos="4252"/>
        <w:tab w:val="right" w:pos="8504"/>
      </w:tabs>
    </w:pPr>
  </w:style>
  <w:style w:type="character" w:customStyle="1" w:styleId="EncabezadoCar">
    <w:name w:val="Encabezado Car"/>
    <w:basedOn w:val="Fuentedeprrafopredeter"/>
    <w:link w:val="Encabezado"/>
    <w:rsid w:val="00511909"/>
    <w:rPr>
      <w:rFonts w:ascii="Arial" w:eastAsia="Times New Roman" w:hAnsi="Arial" w:cs="Arial"/>
      <w:sz w:val="24"/>
      <w:szCs w:val="20"/>
      <w:lang w:eastAsia="es-ES"/>
    </w:rPr>
  </w:style>
  <w:style w:type="character" w:styleId="Nmerodepgina">
    <w:name w:val="page number"/>
    <w:basedOn w:val="Fuentedeprrafopredeter"/>
    <w:rsid w:val="00511909"/>
  </w:style>
  <w:style w:type="character" w:styleId="Hipervnculo">
    <w:name w:val="Hyperlink"/>
    <w:basedOn w:val="Fuentedeprrafopredeter"/>
    <w:rsid w:val="00511909"/>
    <w:rPr>
      <w:color w:val="0000FF"/>
      <w:u w:val="single"/>
    </w:rPr>
  </w:style>
  <w:style w:type="paragraph" w:styleId="Prrafodelista">
    <w:name w:val="List Paragraph"/>
    <w:basedOn w:val="Normal"/>
    <w:link w:val="PrrafodelistaCar"/>
    <w:uiPriority w:val="34"/>
    <w:qFormat/>
    <w:rsid w:val="00511909"/>
    <w:pPr>
      <w:ind w:left="720"/>
      <w:contextualSpacing/>
    </w:pPr>
  </w:style>
  <w:style w:type="character" w:customStyle="1" w:styleId="PrrafodelistaCar">
    <w:name w:val="Párrafo de lista Car"/>
    <w:link w:val="Prrafodelista"/>
    <w:uiPriority w:val="34"/>
    <w:locked/>
    <w:rsid w:val="00511909"/>
    <w:rPr>
      <w:rFonts w:ascii="Arial" w:eastAsia="Times New Roman" w:hAnsi="Arial" w:cs="Arial"/>
      <w:sz w:val="24"/>
      <w:szCs w:val="20"/>
      <w:lang w:eastAsia="es-ES"/>
    </w:rPr>
  </w:style>
  <w:style w:type="paragraph" w:styleId="Textodeglobo">
    <w:name w:val="Balloon Text"/>
    <w:basedOn w:val="Normal"/>
    <w:link w:val="TextodegloboCar"/>
    <w:uiPriority w:val="99"/>
    <w:semiHidden/>
    <w:unhideWhenUsed/>
    <w:rsid w:val="00511909"/>
    <w:rPr>
      <w:rFonts w:ascii="Tahoma" w:hAnsi="Tahoma" w:cs="Tahoma"/>
      <w:sz w:val="16"/>
      <w:szCs w:val="16"/>
    </w:rPr>
  </w:style>
  <w:style w:type="character" w:customStyle="1" w:styleId="TextodegloboCar">
    <w:name w:val="Texto de globo Car"/>
    <w:basedOn w:val="Fuentedeprrafopredeter"/>
    <w:link w:val="Textodeglobo"/>
    <w:uiPriority w:val="99"/>
    <w:semiHidden/>
    <w:rsid w:val="00511909"/>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_rels/footer3.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s://www.facebook.com/territorialgob/" TargetMode="External"/><Relationship Id="rId7" Type="http://schemas.openxmlformats.org/officeDocument/2006/relationships/hyperlink" Target="https://www.youtube.com/channel/UCSrSdLtDhDGRVkmu4vvT-bw?view_as=subscriber" TargetMode="External"/><Relationship Id="rId2" Type="http://schemas.openxmlformats.org/officeDocument/2006/relationships/image" Target="media/image1.png"/><Relationship Id="rId1" Type="http://schemas.openxmlformats.org/officeDocument/2006/relationships/hyperlink" Target="https://twitter.com/territorialgob?lang=es" TargetMode="External"/><Relationship Id="rId6" Type="http://schemas.openxmlformats.org/officeDocument/2006/relationships/image" Target="media/image3.png"/><Relationship Id="rId5" Type="http://schemas.openxmlformats.org/officeDocument/2006/relationships/hyperlink" Target="https://www.instagram.com/territorialgob/?hl=es" TargetMode="External"/><Relationship Id="rId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1179</Words>
  <Characters>6485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dc:creator>
  <cp:lastModifiedBy>Admin</cp:lastModifiedBy>
  <cp:revision>2</cp:revision>
  <dcterms:created xsi:type="dcterms:W3CDTF">2019-04-01T13:31:00Z</dcterms:created>
  <dcterms:modified xsi:type="dcterms:W3CDTF">2019-04-01T13:31:00Z</dcterms:modified>
</cp:coreProperties>
</file>